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1100" w:after="320" w:line="300" w:lineRule="auto"/>
        <w:jc w:val="center"/>
      </w:pPr>
      <w:r>
        <w:rPr>
          <w:rFonts w:ascii="PingFang SC" w:hAnsi="PingFang SC" w:eastAsia="PingFang SC"/>
          <w:b/>
          <w:i w:val="0"/>
          <w:color w:val="2E74B5"/>
          <w:sz w:val="20"/>
        </w:rPr>
        <w:t>ACCURACY RETENTION EVALUATION</w:t>
      </w:r>
    </w:p>
    <w:p>
      <w:pPr>
        <w:spacing w:before="0" w:after="160" w:line="300" w:lineRule="auto"/>
        <w:jc w:val="center"/>
      </w:pPr>
      <w:r>
        <w:rPr>
          <w:rFonts w:ascii="PingFang SC" w:hAnsi="PingFang SC" w:eastAsia="PingFang SC"/>
          <w:b/>
          <w:i w:val="0"/>
          <w:color w:val="17375E"/>
          <w:sz w:val="46"/>
        </w:rPr>
        <w:t>精度保持性评估完整运行逻辑与案例说明</w:t>
      </w:r>
    </w:p>
    <w:p>
      <w:pPr>
        <w:spacing w:before="0" w:after="480" w:line="300" w:lineRule="auto"/>
        <w:jc w:val="center"/>
      </w:pPr>
      <w:r>
        <w:rPr>
          <w:rFonts w:ascii="PingFang SC" w:hAnsi="PingFang SC" w:eastAsia="PingFang SC"/>
          <w:b w:val="0"/>
          <w:i w:val="0"/>
          <w:color w:val="2E74B5"/>
          <w:sz w:val="28"/>
        </w:rPr>
        <w:t>整机综合评价 + 功能部件评价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92"/>
      </w:tblGrid>
      <w:tr>
        <w:tc>
          <w:tcPr>
            <w:tcW w:type="dxa" w:w="9144"/>
            <w:shd w:fill="DDEBF7"/>
            <w:tcBorders>
              <w:top w:val="single" w:sz="6" w:color="DDEBF7"/>
              <w:left w:val="single" w:sz="6" w:color="DDEBF7"/>
              <w:bottom w:val="single" w:sz="6" w:color="DDEBF7"/>
              <w:right w:val="single" w:sz="6" w:color="DDEBF7"/>
              <w:insideH w:val="single" w:sz="6" w:color="DDEBF7"/>
              <w:insideV w:val="single" w:sz="6" w:color="DDEBF7"/>
            </w:tcBorders>
            <w:tcMar>
              <w:top w:w="150" w:type="dxa"/>
              <w:start w:w="180" w:type="dxa"/>
              <w:bottom w:w="150" w:type="dxa"/>
              <w:end w:w="180" w:type="dxa"/>
            </w:tcMar>
          </w:tcPr>
          <w:p>
            <w:pPr>
              <w:spacing w:after="80"/>
            </w:pPr>
            <w:r>
              <w:rPr>
                <w:rFonts w:ascii="PingFang SC" w:hAnsi="PingFang SC" w:eastAsia="PingFang SC"/>
                <w:b/>
                <w:i w:val="0"/>
                <w:color w:val="17375E"/>
                <w:sz w:val="22"/>
              </w:rPr>
              <w:t>文档用途</w:t>
            </w:r>
          </w:p>
          <w:p>
            <w:pPr>
              <w:spacing w:after="0" w:line="300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20"/>
              </w:rPr>
              <w:t>用于软件演示、项目汇报和用户培训。重点回答：系统具体录入什么数据；参数进入哪一个公式；公式输出什么中间量；中间量如何归一化、赋权和逐层汇总；最终页面展示什么结果。</w:t>
            </w:r>
          </w:p>
        </w:tc>
      </w:tr>
    </w:tbl>
    <w:p>
      <w:pPr>
        <w:spacing w:after="20"/>
      </w:pPr>
    </w:p>
    <w:p>
      <w:pPr>
        <w:spacing w:before="360" w:after="120" w:line="300" w:lineRule="auto"/>
        <w:jc w:val="center"/>
      </w:pPr>
      <w:r>
        <w:rPr>
          <w:rFonts w:ascii="PingFang SC" w:hAnsi="PingFang SC" w:eastAsia="PingFang SC"/>
          <w:b w:val="0"/>
          <w:i w:val="0"/>
          <w:color w:val="66758A"/>
          <w:sz w:val="20"/>
        </w:rPr>
        <w:t>版本日期：2026年6月15日</w:t>
      </w:r>
    </w:p>
    <w:p>
      <w:pPr>
        <w:spacing w:before="0" w:after="480" w:line="300" w:lineRule="auto"/>
        <w:jc w:val="center"/>
      </w:pPr>
      <w:r>
        <w:rPr>
          <w:rFonts w:ascii="PingFang SC" w:hAnsi="PingFang SC" w:eastAsia="PingFang SC"/>
          <w:b w:val="0"/>
          <w:i w:val="0"/>
          <w:color w:val="66758A"/>
          <w:sz w:val="20"/>
        </w:rPr>
        <w:t>适用软件：数控机床中试验证阶段精度保持性综合评价系统</w:t>
      </w:r>
    </w:p>
    <w:p>
      <w:pPr>
        <w:spacing w:before="0" w:after="120" w:line="300" w:lineRule="auto"/>
      </w:pPr>
      <w:r>
        <w:rPr>
          <w:rFonts w:ascii="PingFang SC" w:hAnsi="PingFang SC" w:eastAsia="PingFang SC"/>
          <w:b/>
          <w:i w:val="0"/>
          <w:color w:val="17375E"/>
          <w:sz w:val="22"/>
        </w:rPr>
        <w:t>参考文件</w:t>
      </w:r>
    </w:p>
    <w:p>
      <w:pPr>
        <w:pStyle w:val="ListBullet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《一种数控机床整机精度保持性多层次、多维度综合评价方法》（项目文件：说明书.docx）</w:t>
      </w:r>
    </w:p>
    <w:p>
      <w:pPr>
        <w:pStyle w:val="ListBullet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《车削类机床精度保持性验证评价规范20260320》</w:t>
      </w:r>
    </w:p>
    <w:p>
      <w:pPr>
        <w:pStyle w:val="ListBullet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软件当前数据库配置、测试记录、制品样本和后端评价算法</w:t>
      </w:r>
    </w:p>
    <w:p>
      <w:r>
        <w:br w:type="page"/>
      </w:r>
    </w:p>
    <w:p>
      <w:pPr>
        <w:pStyle w:val="Heading1"/>
        <w:keepNext/>
        <w:spacing w:before="320" w:after="160"/>
      </w:pPr>
      <w:r>
        <w:rPr>
          <w:rFonts w:ascii="PingFang SC" w:hAnsi="PingFang SC" w:eastAsia="PingFang SC"/>
          <w:b/>
          <w:i w:val="0"/>
          <w:color w:val="2E74B5"/>
          <w:sz w:val="32"/>
        </w:rPr>
        <w:t>1. 一句话先讲清楚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92"/>
      </w:tblGrid>
      <w:tr>
        <w:tc>
          <w:tcPr>
            <w:tcW w:type="dxa" w:w="9144"/>
            <w:shd w:fill="E2F0D9"/>
            <w:tcBorders>
              <w:top w:val="single" w:sz="6" w:color="E2F0D9"/>
              <w:left w:val="single" w:sz="6" w:color="E2F0D9"/>
              <w:bottom w:val="single" w:sz="6" w:color="E2F0D9"/>
              <w:right w:val="single" w:sz="6" w:color="E2F0D9"/>
              <w:insideH w:val="single" w:sz="6" w:color="E2F0D9"/>
              <w:insideV w:val="single" w:sz="6" w:color="E2F0D9"/>
            </w:tcBorders>
            <w:tcMar>
              <w:top w:w="150" w:type="dxa"/>
              <w:start w:w="180" w:type="dxa"/>
              <w:bottom w:w="150" w:type="dxa"/>
              <w:end w:w="180" w:type="dxa"/>
            </w:tcMar>
          </w:tcPr>
          <w:p>
            <w:pPr>
              <w:spacing w:after="80"/>
            </w:pPr>
            <w:r>
              <w:rPr>
                <w:rFonts w:ascii="PingFang SC" w:hAnsi="PingFang SC" w:eastAsia="PingFang SC"/>
                <w:b/>
                <w:i w:val="0"/>
                <w:color w:val="17375E"/>
                <w:sz w:val="22"/>
              </w:rPr>
              <w:t>整机评估</w:t>
            </w:r>
          </w:p>
          <w:p>
            <w:pPr>
              <w:spacing w:after="0" w:line="300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20"/>
              </w:rPr>
              <w:t>把几何精度、位置精度的长期退化序列，以及加工制品的批次样本，分别计算成五类评价量，再统一转成百分制，通过动态组合权重形成单项得分，最后按“指标层→准则层→目标层”逐层汇总为整机综合得分。</w:t>
            </w:r>
          </w:p>
        </w:tc>
      </w:tr>
    </w:tbl>
    <w:p>
      <w:pPr>
        <w:spacing w:after="2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92"/>
      </w:tblGrid>
      <w:tr>
        <w:tc>
          <w:tcPr>
            <w:tcW w:type="dxa" w:w="9144"/>
            <w:shd w:fill="FCE4D6"/>
            <w:tcBorders>
              <w:top w:val="single" w:sz="6" w:color="FCE4D6"/>
              <w:left w:val="single" w:sz="6" w:color="FCE4D6"/>
              <w:bottom w:val="single" w:sz="6" w:color="FCE4D6"/>
              <w:right w:val="single" w:sz="6" w:color="FCE4D6"/>
              <w:insideH w:val="single" w:sz="6" w:color="FCE4D6"/>
              <w:insideV w:val="single" w:sz="6" w:color="FCE4D6"/>
            </w:tcBorders>
            <w:tcMar>
              <w:top w:w="150" w:type="dxa"/>
              <w:start w:w="180" w:type="dxa"/>
              <w:bottom w:w="150" w:type="dxa"/>
              <w:end w:w="180" w:type="dxa"/>
            </w:tcMar>
          </w:tcPr>
          <w:p>
            <w:pPr>
              <w:spacing w:after="80"/>
            </w:pPr>
            <w:r>
              <w:rPr>
                <w:rFonts w:ascii="PingFang SC" w:hAnsi="PingFang SC" w:eastAsia="PingFang SC"/>
                <w:b/>
                <w:i w:val="0"/>
                <w:color w:val="17375E"/>
                <w:sz w:val="22"/>
              </w:rPr>
              <w:t>部件评估</w:t>
            </w:r>
          </w:p>
          <w:p>
            <w:pPr>
              <w:spacing w:after="0" w:line="300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20"/>
              </w:rPr>
              <w:t>每个加载循环后记录部件精度，先判断是否有任一指标超过失效阈值：已失效则回答“能保持多久”；未失效则回答“保持得有多好”。</w:t>
            </w:r>
          </w:p>
        </w:tc>
      </w:tr>
    </w:tbl>
    <w:p>
      <w:pPr>
        <w:spacing w:after="20"/>
      </w:pP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1.1 权重到底是输入还是输出？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958"/>
        <w:gridCol w:w="1958"/>
        <w:gridCol w:w="1958"/>
        <w:gridCol w:w="1958"/>
        <w:gridCol w:w="1958"/>
      </w:tblGrid>
      <w:tr>
        <w:trPr>
          <w:tblHeader w:val="true"/>
        </w:trPr>
        <w:tc>
          <w:tcPr>
            <w:tcW w:type="dxa" w:w="158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权重名称</w:t>
            </w:r>
          </w:p>
        </w:tc>
        <w:tc>
          <w:tcPr>
            <w:tcW w:type="dxa" w:w="108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性质</w:t>
            </w:r>
          </w:p>
        </w:tc>
        <w:tc>
          <w:tcPr>
            <w:tcW w:type="dxa" w:w="309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来源</w:t>
            </w:r>
          </w:p>
        </w:tc>
        <w:tc>
          <w:tcPr>
            <w:tcW w:type="dxa" w:w="180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进入哪一步</w:t>
            </w:r>
          </w:p>
        </w:tc>
        <w:tc>
          <w:tcPr>
            <w:tcW w:type="dxa" w:w="158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是否在结果中输出</w:t>
            </w:r>
          </w:p>
        </w:tc>
      </w:tr>
      <w:tr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评价维度主观权重 u_j</w:t>
            </w:r>
          </w:p>
        </w:tc>
        <w:tc>
          <w:tcPr>
            <w:tcW w:type="dxa" w:w="108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输入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规范/AHP专家判断的已验证结果；软件预置几何/位置为0.25、0.50、0.25，加工为0.50、0.50</w:t>
            </w:r>
          </w:p>
        </w:tc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与客观权重融合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是，指标明细中返回</w:t>
            </w:r>
          </w:p>
        </w:tc>
      </w:tr>
      <w:tr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评价维度客观权重 v_j</w:t>
            </w:r>
          </w:p>
        </w:tc>
        <w:tc>
          <w:tcPr>
            <w:tcW w:type="dxa" w:w="108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计算输出</w:t>
            </w:r>
          </w:p>
        </w:tc>
        <w:tc>
          <w:tcPr>
            <w:tcW w:type="dxa" w:w="30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由本次各维度百分制得分占比动态计算</w:t>
            </w:r>
          </w:p>
        </w:tc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与主观权重融合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是</w:t>
            </w:r>
          </w:p>
        </w:tc>
      </w:tr>
      <w:tr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评价维度组合权重 W_j</w:t>
            </w:r>
          </w:p>
        </w:tc>
        <w:tc>
          <w:tcPr>
            <w:tcW w:type="dxa" w:w="108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计算输出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W_j=√(u_jv_j)/Σ√(u_jv_j)</w:t>
            </w:r>
          </w:p>
        </w:tc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计算单个精度指标综合分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是</w:t>
            </w:r>
          </w:p>
        </w:tc>
      </w:tr>
      <w:tr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指标层权重 W_Ci</w:t>
            </w:r>
          </w:p>
        </w:tc>
        <w:tc>
          <w:tcPr>
            <w:tcW w:type="dxa" w:w="108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配置输入</w:t>
            </w:r>
          </w:p>
        </w:tc>
        <w:tc>
          <w:tcPr>
            <w:tcW w:type="dxa" w:w="30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设备台账配置；缺失时按机型和规范推荐表匹配</w:t>
            </w:r>
          </w:p>
        </w:tc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指标分→准则层分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是，归一化后输出</w:t>
            </w:r>
          </w:p>
        </w:tc>
      </w:tr>
      <w:tr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准则层权重 W_Bk</w:t>
            </w:r>
          </w:p>
        </w:tc>
        <w:tc>
          <w:tcPr>
            <w:tcW w:type="dxa" w:w="108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配置输入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设备台账配置；默认几何0.25、位置0.25、加工0.50</w:t>
            </w:r>
          </w:p>
        </w:tc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准则层分→整机总分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是</w:t>
            </w:r>
          </w:p>
        </w:tc>
      </w:tr>
    </w:tbl>
    <w:p>
      <w:pPr>
        <w:spacing w:after="4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92"/>
      </w:tblGrid>
      <w:tr>
        <w:tc>
          <w:tcPr>
            <w:tcW w:type="dxa" w:w="9144"/>
            <w:shd w:fill="DDEBF7"/>
            <w:tcBorders>
              <w:top w:val="single" w:sz="6" w:color="DDEBF7"/>
              <w:left w:val="single" w:sz="6" w:color="DDEBF7"/>
              <w:bottom w:val="single" w:sz="6" w:color="DDEBF7"/>
              <w:right w:val="single" w:sz="6" w:color="DDEBF7"/>
              <w:insideH w:val="single" w:sz="6" w:color="DDEBF7"/>
              <w:insideV w:val="single" w:sz="6" w:color="DDEBF7"/>
            </w:tcBorders>
            <w:tcMar>
              <w:top w:w="150" w:type="dxa"/>
              <w:start w:w="180" w:type="dxa"/>
              <w:bottom w:w="150" w:type="dxa"/>
              <w:end w:w="180" w:type="dxa"/>
            </w:tcMar>
          </w:tcPr>
          <w:p>
            <w:pPr>
              <w:spacing w:after="80"/>
            </w:pPr>
            <w:r>
              <w:rPr>
                <w:rFonts w:ascii="PingFang SC" w:hAnsi="PingFang SC" w:eastAsia="PingFang SC"/>
                <w:b/>
                <w:i w:val="0"/>
                <w:color w:val="17375E"/>
                <w:sz w:val="22"/>
              </w:rPr>
              <w:t>演示时建议这样说</w:t>
            </w:r>
          </w:p>
          <w:p>
            <w:pPr>
              <w:spacing w:after="0" w:line="300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20"/>
              </w:rPr>
              <w:t>不是所有权重都由用户手工填写。管理员配置的是“各精度指标在同类中的重要程度”和“三大精度集的重要程度”；系统根据本次数据表现自动计算客观权重和最终组合权重。</w:t>
            </w:r>
          </w:p>
        </w:tc>
      </w:tr>
    </w:tbl>
    <w:p>
      <w:pPr>
        <w:spacing w:after="20"/>
      </w:pP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1.2 软件中的三类参数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48"/>
        <w:gridCol w:w="2448"/>
        <w:gridCol w:w="2448"/>
        <w:gridCol w:w="2448"/>
      </w:tblGrid>
      <w:tr>
        <w:trPr>
          <w:tblHeader w:val="true"/>
        </w:trPr>
        <w:tc>
          <w:tcPr>
            <w:tcW w:type="dxa" w:w="144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类型</w:t>
            </w:r>
          </w:p>
        </w:tc>
        <w:tc>
          <w:tcPr>
            <w:tcW w:type="dxa" w:w="345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典型内容</w:t>
            </w:r>
          </w:p>
        </w:tc>
        <w:tc>
          <w:tcPr>
            <w:tcW w:type="dxa" w:w="223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维护位置</w:t>
            </w:r>
          </w:p>
        </w:tc>
        <w:tc>
          <w:tcPr>
            <w:tcW w:type="dxa" w:w="223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作用</w:t>
            </w:r>
          </w:p>
        </w:tc>
      </w:tr>
      <w:tr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管理员配置</w:t>
            </w:r>
          </w:p>
        </w:tc>
        <w:tc>
          <w:tcPr>
            <w:tcW w:type="dxa" w:w="345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指标绑定、δ0、δth、USL/LSL、指标层权重、准则层权重、单循环小时</w:t>
            </w:r>
          </w:p>
        </w:tc>
        <w:tc>
          <w:tcPr>
            <w:tcW w:type="dxa" w:w="223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设备台账；加工公差还来自制品指标配置</w:t>
            </w:r>
          </w:p>
        </w:tc>
        <w:tc>
          <w:tcPr>
            <w:tcW w:type="dxa" w:w="223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定义评价对象、边界和汇总关系</w:t>
            </w:r>
          </w:p>
        </w:tc>
      </w:tr>
      <w:tr>
        <w:tc>
          <w:tcPr>
            <w:tcW w:type="dxa" w:w="14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操作者录入</w:t>
            </w:r>
          </w:p>
        </w:tc>
        <w:tc>
          <w:tcPr>
            <w:tcW w:type="dxa" w:w="345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周期检测值、检测时间、制品批次、样本值、循环试验记录</w:t>
            </w:r>
          </w:p>
        </w:tc>
        <w:tc>
          <w:tcPr>
            <w:tcW w:type="dxa" w:w="223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数据采集/制品数据录入</w:t>
            </w:r>
          </w:p>
        </w:tc>
        <w:tc>
          <w:tcPr>
            <w:tcW w:type="dxa" w:w="223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形成算法的动态实测输入</w:t>
            </w:r>
          </w:p>
        </w:tc>
      </w:tr>
      <w:tr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系统固定</w:t>
            </w:r>
          </w:p>
        </w:tc>
        <w:tc>
          <w:tcPr>
            <w:tcW w:type="dxa" w:w="345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ARDR/ARD/AFD/ACD/AD公式、正逆向归一化、客观赋权、拉格朗日融合、逐层汇总</w:t>
            </w:r>
          </w:p>
        </w:tc>
        <w:tc>
          <w:tcPr>
            <w:tcW w:type="dxa" w:w="223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后端算法</w:t>
            </w:r>
          </w:p>
        </w:tc>
        <w:tc>
          <w:tcPr>
            <w:tcW w:type="dxa" w:w="223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保证相同数据和配置得到相同结果</w:t>
            </w:r>
          </w:p>
        </w:tc>
      </w:tr>
    </w:tbl>
    <w:p>
      <w:pPr>
        <w:spacing w:after="40"/>
      </w:pPr>
    </w:p>
    <w:p>
      <w:r>
        <w:br w:type="page"/>
      </w:r>
    </w:p>
    <w:p>
      <w:pPr>
        <w:pStyle w:val="Heading1"/>
        <w:keepNext/>
        <w:spacing w:before="320" w:after="160"/>
      </w:pPr>
      <w:r>
        <w:rPr>
          <w:rFonts w:ascii="PingFang SC" w:hAnsi="PingFang SC" w:eastAsia="PingFang SC"/>
          <w:b/>
          <w:i w:val="0"/>
          <w:color w:val="2E74B5"/>
          <w:sz w:val="32"/>
        </w:rPr>
        <w:t>2. 整机精度保持性综合评价</w:t>
      </w:r>
    </w:p>
    <w:p>
      <w:pPr>
        <w:spacing w:before="0" w:after="120" w:line="300" w:lineRule="auto"/>
      </w:pPr>
      <w:r>
        <w:rPr>
          <w:rFonts w:ascii="PingFang SC" w:hAnsi="PingFang SC" w:eastAsia="PingFang SC"/>
          <w:b w:val="0"/>
          <w:i w:val="0"/>
          <w:color w:val="1F2937"/>
          <w:sz w:val="21"/>
        </w:rPr>
        <w:t>整机评价采用目标层—准则层—指标层三层体系。目标层是整机综合得分；准则层是几何精度、位置精度和加工精度；指标层是工作台平面度、定位精度、外圆圆度等具体指标。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943600" cy="334505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整机精度保持性综合评价流程图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505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PingFang SC" w:hAnsi="PingFang SC" w:eastAsia="PingFang SC"/>
          <w:b w:val="0"/>
          <w:i/>
          <w:color w:val="66758A"/>
          <w:sz w:val="19"/>
        </w:rPr>
        <w:t>图1 整机精度保持性综合评价完整数据流（Image 2生成）</w:t>
      </w: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2.1 整机评价需要哪些输入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48"/>
        <w:gridCol w:w="2448"/>
        <w:gridCol w:w="2448"/>
        <w:gridCol w:w="2448"/>
      </w:tblGrid>
      <w:tr>
        <w:trPr>
          <w:tblHeader w:val="true"/>
        </w:trPr>
        <w:tc>
          <w:tcPr>
            <w:tcW w:type="dxa" w:w="144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输入组</w:t>
            </w:r>
          </w:p>
        </w:tc>
        <w:tc>
          <w:tcPr>
            <w:tcW w:type="dxa" w:w="324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具体字段/数据</w:t>
            </w:r>
          </w:p>
        </w:tc>
        <w:tc>
          <w:tcPr>
            <w:tcW w:type="dxa" w:w="237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数据库或页面来源</w:t>
            </w:r>
          </w:p>
        </w:tc>
        <w:tc>
          <w:tcPr>
            <w:tcW w:type="dxa" w:w="230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后续用途</w:t>
            </w:r>
          </w:p>
        </w:tc>
      </w:tr>
      <w:tr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资产与体系</w:t>
            </w:r>
          </w:p>
        </w:tc>
        <w:tc>
          <w:tcPr>
            <w:tcW w:type="dxa" w:w="32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资产编号、机床类型、指标分类、指标名称</w:t>
            </w:r>
          </w:p>
        </w:tc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设备台账、指标字典</w:t>
            </w:r>
          </w:p>
        </w:tc>
        <w:tc>
          <w:tcPr>
            <w:tcW w:type="dxa" w:w="23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建立目标层—准则层—指标层关系，并匹配机型推荐权重</w:t>
            </w:r>
          </w:p>
        </w:tc>
      </w:tr>
      <w:tr>
        <w:tc>
          <w:tcPr>
            <w:tcW w:type="dxa" w:w="14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几何/位置边界</w:t>
            </w:r>
          </w:p>
        </w:tc>
        <w:tc>
          <w:tcPr>
            <w:tcW w:type="dxa" w:w="32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出厂初始精度δ0、失效精度δth、单位</w:t>
            </w:r>
          </w:p>
        </w:tc>
        <w:tc>
          <w:tcPr>
            <w:tcW w:type="dxa" w:w="237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设备台账→配置指标</w:t>
            </w:r>
          </w:p>
        </w:tc>
        <w:tc>
          <w:tcPr>
            <w:tcW w:type="dxa" w:w="23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ARD计算、状态判定</w:t>
            </w:r>
          </w:p>
        </w:tc>
      </w:tr>
      <w:tr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加工公差</w:t>
            </w:r>
          </w:p>
        </w:tc>
        <w:tc>
          <w:tcPr>
            <w:tcW w:type="dxa" w:w="32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USL、LSL、单位</w:t>
            </w:r>
          </w:p>
        </w:tc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制品指标配置；设备与加工指标绑定</w:t>
            </w:r>
          </w:p>
        </w:tc>
        <w:tc>
          <w:tcPr>
            <w:tcW w:type="dxa" w:w="23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计算T=|USL-LSL|和M=(USL+LSL)/2</w:t>
            </w:r>
          </w:p>
        </w:tc>
      </w:tr>
      <w:tr>
        <w:tc>
          <w:tcPr>
            <w:tcW w:type="dxa" w:w="14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归一化边界</w:t>
            </w:r>
          </w:p>
        </w:tc>
        <w:tc>
          <w:tcPr>
            <w:tcW w:type="dxa" w:w="32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理想值Ideal、极限值Limit</w:t>
            </w:r>
          </w:p>
        </w:tc>
        <w:tc>
          <w:tcPr>
            <w:tcW w:type="dxa" w:w="237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设备台账可选；留空使用系统规范默认值</w:t>
            </w:r>
          </w:p>
        </w:tc>
        <w:tc>
          <w:tcPr>
            <w:tcW w:type="dxa" w:w="23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把不同量纲的评价量统一映射到0~100分</w:t>
            </w:r>
          </w:p>
        </w:tc>
      </w:tr>
      <w:tr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层级权重</w:t>
            </w:r>
          </w:p>
        </w:tc>
        <w:tc>
          <w:tcPr>
            <w:tcW w:type="dxa" w:w="32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指标层权重W_Ci、准则层权重W_Bk</w:t>
            </w:r>
          </w:p>
        </w:tc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设备台账→配置指标</w:t>
            </w:r>
          </w:p>
        </w:tc>
        <w:tc>
          <w:tcPr>
            <w:tcW w:type="dxa" w:w="23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指标层向准则层、目标层汇总</w:t>
            </w:r>
          </w:p>
        </w:tc>
      </w:tr>
      <w:tr>
        <w:tc>
          <w:tcPr>
            <w:tcW w:type="dxa" w:w="14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跟踪检测数据</w:t>
            </w:r>
          </w:p>
        </w:tc>
        <w:tc>
          <w:tcPr>
            <w:tcW w:type="dxa" w:w="32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检测时间t_i、指标实测值δ_i；同一时点多次采样先取均值</w:t>
            </w:r>
          </w:p>
        </w:tc>
        <w:tc>
          <w:tcPr>
            <w:tcW w:type="dxa" w:w="237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数据采集→整机精度检测</w:t>
            </w:r>
          </w:p>
        </w:tc>
        <w:tc>
          <w:tcPr>
            <w:tcW w:type="dxa" w:w="23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拟合A(t)，计算ARDR、ARD、AFD</w:t>
            </w:r>
          </w:p>
        </w:tc>
      </w:tr>
      <w:tr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加工制品数据</w:t>
            </w:r>
          </w:p>
        </w:tc>
        <w:tc>
          <w:tcPr>
            <w:tcW w:type="dxa" w:w="32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产品、批次、加工数量、同一加工指标的样本X_1…X_m</w:t>
            </w:r>
          </w:p>
        </w:tc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设备台账绑定制品→制品数据录入</w:t>
            </w:r>
          </w:p>
        </w:tc>
        <w:tc>
          <w:tcPr>
            <w:tcW w:type="dxa" w:w="23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计算ACD、AD；当前算法使用最新批次样本</w:t>
            </w:r>
          </w:p>
        </w:tc>
      </w:tr>
    </w:tbl>
    <w:p>
      <w:pPr>
        <w:spacing w:after="40"/>
      </w:pP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2.2 从输入到最终得分的逐步链路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958"/>
        <w:gridCol w:w="1958"/>
        <w:gridCol w:w="1958"/>
        <w:gridCol w:w="1958"/>
        <w:gridCol w:w="1958"/>
      </w:tblGrid>
      <w:tr>
        <w:trPr>
          <w:tblHeader w:val="true"/>
        </w:trPr>
        <w:tc>
          <w:tcPr>
            <w:tcW w:type="dxa" w:w="115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5"/>
              </w:rPr>
              <w:t>环节</w:t>
            </w:r>
          </w:p>
        </w:tc>
        <w:tc>
          <w:tcPr>
            <w:tcW w:type="dxa" w:w="194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5"/>
              </w:rPr>
              <w:t>输入</w:t>
            </w:r>
          </w:p>
        </w:tc>
        <w:tc>
          <w:tcPr>
            <w:tcW w:type="dxa" w:w="381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5"/>
              </w:rPr>
              <w:t>处理/公式</w:t>
            </w:r>
          </w:p>
        </w:tc>
        <w:tc>
          <w:tcPr>
            <w:tcW w:type="dxa" w:w="151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5"/>
              </w:rPr>
              <w:t>本环节输出</w:t>
            </w:r>
          </w:p>
        </w:tc>
        <w:tc>
          <w:tcPr>
            <w:tcW w:type="dxa" w:w="158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5"/>
              </w:rPr>
              <w:t>输出进入下一环节</w:t>
            </w:r>
          </w:p>
        </w:tc>
      </w:tr>
      <w:tr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A. 数据预处理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同一指标的(t_i,δ_i)或同一时点多次测量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同一时点多次采样取均值；按时间升序；时间换算为相对天数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每个指标的有序退化序列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几何/位置三维特征计算</w:t>
            </w:r>
          </w:p>
        </w:tc>
      </w:tr>
      <w:tr>
        <w:tc>
          <w:tcPr>
            <w:tcW w:type="dxa" w:w="115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B1. 退化函数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相对天数t_i、δ_i</w:t>
            </w:r>
          </w:p>
        </w:tc>
        <w:tc>
          <w:tcPr>
            <w:tcW w:type="dxa" w:w="381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最小二乘直线A(t)=at+b</w:t>
            </w:r>
          </w:p>
        </w:tc>
        <w:tc>
          <w:tcPr>
            <w:tcW w:type="dxa" w:w="151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斜率a、拟合值A(t_i)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ARDR直接取|a|；AFD使用拟合残差</w:t>
            </w:r>
          </w:p>
        </w:tc>
      </w:tr>
      <w:tr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B2. ARDR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拟合斜率a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ARDR=|dA(t)/dt|=|a|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精度退化速率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逆向模糊归一化</w:t>
            </w:r>
          </w:p>
        </w:tc>
      </w:tr>
      <w:tr>
        <w:tc>
          <w:tcPr>
            <w:tcW w:type="dxa" w:w="115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B3. ARD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δ_i、δ0、δth</w:t>
            </w:r>
          </w:p>
        </w:tc>
        <w:tc>
          <w:tcPr>
            <w:tcW w:type="dxa" w:w="381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Δδ_mean=(1/n)Σ|δ_i-δ0|；ARD=ρ·exp[-Δδ_mean/(δth-δ0)]</w:t>
            </w:r>
          </w:p>
        </w:tc>
        <w:tc>
          <w:tcPr>
            <w:tcW w:type="dxa" w:w="151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精度保持度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正向模糊归一化</w:t>
            </w:r>
          </w:p>
        </w:tc>
      </w:tr>
      <w:tr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B4. AFD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δ_i、A(t_i)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AFD=√[(1/(n-1))Σ(δ_i-A(t_i))²]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精度波动度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逆向模糊归一化</w:t>
            </w:r>
          </w:p>
        </w:tc>
      </w:tr>
      <w:tr>
        <w:tc>
          <w:tcPr>
            <w:tcW w:type="dxa" w:w="115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C1. ACD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最新制品批次X_i、USL、LSL</w:t>
            </w:r>
          </w:p>
        </w:tc>
        <w:tc>
          <w:tcPr>
            <w:tcW w:type="dxa" w:w="381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样本标准差s；T=|USL-LSL|；ACD=T/(6s)</w:t>
            </w:r>
          </w:p>
        </w:tc>
        <w:tc>
          <w:tcPr>
            <w:tcW w:type="dxa" w:w="151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加工精度一致性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正向模糊归一化</w:t>
            </w:r>
          </w:p>
        </w:tc>
      </w:tr>
      <w:tr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C2. AD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X_i、USL、LSL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X̄；M=(USL+LSL)/2；AD=2|X̄-M|/T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精度偏离度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逆向模糊归一化</w:t>
            </w:r>
          </w:p>
        </w:tc>
      </w:tr>
      <w:tr>
        <w:tc>
          <w:tcPr>
            <w:tcW w:type="dxa" w:w="115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D. 百分制归一化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ARDR/ARD/AFD或ACD/AD、Ideal、Limit</w:t>
            </w:r>
          </w:p>
        </w:tc>
        <w:tc>
          <w:tcPr>
            <w:tcW w:type="dxa" w:w="381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正向：(Current-Limit)/(Ideal-Limit)×100；逆向：(Limit-Current)/(Limit-Ideal)×100；结果截断到0~100</w:t>
            </w:r>
          </w:p>
        </w:tc>
        <w:tc>
          <w:tcPr>
            <w:tcW w:type="dxa" w:w="151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每个维度Score_j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客观权重和组合权重</w:t>
            </w:r>
          </w:p>
        </w:tc>
      </w:tr>
      <w:tr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E1. 客观权重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同一指标下各Score_j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v_j=Score_j/ΣScore_j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本次数据驱动的客观权重v_j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拉格朗日融合</w:t>
            </w:r>
          </w:p>
        </w:tc>
      </w:tr>
      <w:tr>
        <w:tc>
          <w:tcPr>
            <w:tcW w:type="dxa" w:w="115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E2. 组合权重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主观权重u_j、客观权重v_j</w:t>
            </w:r>
          </w:p>
        </w:tc>
        <w:tc>
          <w:tcPr>
            <w:tcW w:type="dxa" w:w="381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W_j=√(u_jv_j)/Σ√(u_jv_j)</w:t>
            </w:r>
          </w:p>
        </w:tc>
        <w:tc>
          <w:tcPr>
            <w:tcW w:type="dxa" w:w="151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动态组合权重W_j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单指标综合分</w:t>
            </w:r>
          </w:p>
        </w:tc>
      </w:tr>
      <w:tr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E3. 单指标得分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Score_j、W_j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S_i=Σ(W_j×Score_j)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每个具体精度指标得分S_i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准则层汇总</w:t>
            </w:r>
          </w:p>
        </w:tc>
      </w:tr>
      <w:tr>
        <w:tc>
          <w:tcPr>
            <w:tcW w:type="dxa" w:w="115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F1. 准则层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同一精度集内S_i、指标层权重W_Ci</w:t>
            </w:r>
          </w:p>
        </w:tc>
        <w:tc>
          <w:tcPr>
            <w:tcW w:type="dxa" w:w="381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B_k=Σ(S_i×归一化W_Ci)</w:t>
            </w:r>
          </w:p>
        </w:tc>
        <w:tc>
          <w:tcPr>
            <w:tcW w:type="dxa" w:w="151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几何/位置/加工分项得分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目标层汇总</w:t>
            </w:r>
          </w:p>
        </w:tc>
      </w:tr>
      <w:tr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F2. 目标层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B_k、准则层权重W_Bk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S=Σ(B_k×归一化W_Bk)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整机综合得分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5"/>
              </w:rPr>
              <w:t>页面展示、薄弱环节识别</w:t>
            </w:r>
          </w:p>
        </w:tc>
      </w:tr>
    </w:tbl>
    <w:p>
      <w:pPr>
        <w:spacing w:after="40"/>
      </w:pP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2.3 归一化默认边界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958"/>
        <w:gridCol w:w="1958"/>
        <w:gridCol w:w="1958"/>
        <w:gridCol w:w="1958"/>
        <w:gridCol w:w="1958"/>
      </w:tblGrid>
      <w:tr>
        <w:trPr>
          <w:tblHeader w:val="true"/>
        </w:trPr>
        <w:tc>
          <w:tcPr>
            <w:tcW w:type="dxa" w:w="129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评价量</w:t>
            </w:r>
          </w:p>
        </w:tc>
        <w:tc>
          <w:tcPr>
            <w:tcW w:type="dxa" w:w="165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方向</w:t>
            </w:r>
          </w:p>
        </w:tc>
        <w:tc>
          <w:tcPr>
            <w:tcW w:type="dxa" w:w="158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系统默认Ideal</w:t>
            </w:r>
          </w:p>
        </w:tc>
        <w:tc>
          <w:tcPr>
            <w:tcW w:type="dxa" w:w="194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系统默认Limit/Extreme</w:t>
            </w:r>
          </w:p>
        </w:tc>
        <w:tc>
          <w:tcPr>
            <w:tcW w:type="dxa" w:w="288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解释</w:t>
            </w:r>
          </w:p>
        </w:tc>
      </w:tr>
      <w:tr>
        <w:tc>
          <w:tcPr>
            <w:tcW w:type="dxa" w:w="12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ARDR</w:t>
            </w:r>
          </w:p>
        </w:tc>
        <w:tc>
          <w:tcPr>
            <w:tcW w:type="dxa" w:w="165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逆向，越小越好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0.1</w:t>
            </w:r>
          </w:p>
        </w:tc>
        <w:tc>
          <w:tcPr>
            <w:tcW w:type="dxa" w:w="288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退化速度越接近0越好</w:t>
            </w:r>
          </w:p>
        </w:tc>
      </w:tr>
      <w:tr>
        <w:tc>
          <w:tcPr>
            <w:tcW w:type="dxa" w:w="12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ARD</w:t>
            </w:r>
          </w:p>
        </w:tc>
        <w:tc>
          <w:tcPr>
            <w:tcW w:type="dxa" w:w="165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正向，越大越好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1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</w:t>
            </w:r>
          </w:p>
        </w:tc>
        <w:tc>
          <w:tcPr>
            <w:tcW w:type="dxa" w:w="288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完全保持初始精度时接近1</w:t>
            </w:r>
          </w:p>
        </w:tc>
      </w:tr>
      <w:tr>
        <w:tc>
          <w:tcPr>
            <w:tcW w:type="dxa" w:w="12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AFD</w:t>
            </w:r>
          </w:p>
        </w:tc>
        <w:tc>
          <w:tcPr>
            <w:tcW w:type="dxa" w:w="165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逆向，越小越好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1</w:t>
            </w:r>
          </w:p>
        </w:tc>
        <w:tc>
          <w:tcPr>
            <w:tcW w:type="dxa" w:w="288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拟合残差越小越稳定</w:t>
            </w:r>
          </w:p>
        </w:tc>
      </w:tr>
      <w:tr>
        <w:tc>
          <w:tcPr>
            <w:tcW w:type="dxa" w:w="12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ACD</w:t>
            </w:r>
          </w:p>
        </w:tc>
        <w:tc>
          <w:tcPr>
            <w:tcW w:type="dxa" w:w="165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正向，越大越好</w:t>
            </w:r>
          </w:p>
        </w:tc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1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0.5</w:t>
            </w:r>
          </w:p>
        </w:tc>
        <w:tc>
          <w:tcPr>
            <w:tcW w:type="dxa" w:w="288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公差带相对样本离散程度越大越好</w:t>
            </w:r>
          </w:p>
        </w:tc>
      </w:tr>
      <w:tr>
        <w:tc>
          <w:tcPr>
            <w:tcW w:type="dxa" w:w="12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AD</w:t>
            </w:r>
          </w:p>
        </w:tc>
        <w:tc>
          <w:tcPr>
            <w:tcW w:type="dxa" w:w="165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逆向，越小越好</w:t>
            </w:r>
          </w:p>
        </w:tc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1</w:t>
            </w:r>
          </w:p>
        </w:tc>
        <w:tc>
          <w:tcPr>
            <w:tcW w:type="dxa" w:w="288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均值越接近公差中心越好</w:t>
            </w:r>
          </w:p>
        </w:tc>
      </w:tr>
    </w:tbl>
    <w:p>
      <w:pPr>
        <w:spacing w:after="4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92"/>
      </w:tblGrid>
      <w:tr>
        <w:tc>
          <w:tcPr>
            <w:tcW w:type="dxa" w:w="9144"/>
            <w:shd w:fill="FCE4D6"/>
            <w:tcBorders>
              <w:top w:val="single" w:sz="6" w:color="FCE4D6"/>
              <w:left w:val="single" w:sz="6" w:color="FCE4D6"/>
              <w:bottom w:val="single" w:sz="6" w:color="FCE4D6"/>
              <w:right w:val="single" w:sz="6" w:color="FCE4D6"/>
              <w:insideH w:val="single" w:sz="6" w:color="FCE4D6"/>
              <w:insideV w:val="single" w:sz="6" w:color="FCE4D6"/>
            </w:tcBorders>
            <w:tcMar>
              <w:top w:w="150" w:type="dxa"/>
              <w:start w:w="180" w:type="dxa"/>
              <w:bottom w:w="150" w:type="dxa"/>
              <w:end w:w="180" w:type="dxa"/>
            </w:tcMar>
          </w:tcPr>
          <w:p>
            <w:pPr>
              <w:spacing w:after="80"/>
            </w:pPr>
            <w:r>
              <w:rPr>
                <w:rFonts w:ascii="PingFang SC" w:hAnsi="PingFang SC" w:eastAsia="PingFang SC"/>
                <w:b/>
                <w:i w:val="0"/>
                <w:color w:val="17375E"/>
                <w:sz w:val="22"/>
              </w:rPr>
              <w:t>重要说明</w:t>
            </w:r>
          </w:p>
          <w:p>
            <w:pPr>
              <w:spacing w:after="0" w:line="300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20"/>
              </w:rPr>
              <w:t>设备台账中的“归一化理想值/极限值”留空时，系统使用上表规范默认值；填写后则覆盖默认值。这里的Ideal和Limit不是原始精度的δ0、δth，而是ARDR、ARD、AFD、ACD、AD这些评价量的评分边界。</w:t>
            </w:r>
          </w:p>
        </w:tc>
      </w:tr>
    </w:tbl>
    <w:p>
      <w:pPr>
        <w:spacing w:after="20"/>
      </w:pPr>
    </w:p>
    <w:p>
      <w:r>
        <w:br w:type="page"/>
      </w: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2.4 整机案例：重型立式车床整机样机</w:t>
      </w:r>
    </w:p>
    <w:p>
      <w:pPr>
        <w:spacing w:before="0" w:after="120" w:line="300" w:lineRule="auto"/>
      </w:pPr>
      <w:r>
        <w:rPr>
          <w:rFonts w:ascii="PingFang SC" w:hAnsi="PingFang SC" w:eastAsia="PingFang SC"/>
          <w:b w:val="0"/>
          <w:i w:val="0"/>
          <w:color w:val="1F2937"/>
          <w:sz w:val="21"/>
        </w:rPr>
        <w:t>资产：WHOLE-LATHE-001；机型：立式数控车床。当前数据库配置9项有效指标，10期跟踪检测记录，并绑定阀套试件的10个制品批次。算法回归结果完整，缺失项为0。</w:t>
      </w:r>
    </w:p>
    <w:p>
      <w:pPr>
        <w:pStyle w:val="Heading3"/>
        <w:keepNext/>
        <w:spacing w:before="160" w:after="80"/>
      </w:pPr>
      <w:r>
        <w:rPr>
          <w:rFonts w:ascii="PingFang SC" w:hAnsi="PingFang SC" w:eastAsia="PingFang SC"/>
          <w:b/>
          <w:i w:val="0"/>
          <w:color w:val="17375E"/>
          <w:sz w:val="23"/>
        </w:rPr>
        <w:t>2.4.1 几何精度案例：工作台平面度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896"/>
        <w:gridCol w:w="4896"/>
      </w:tblGrid>
      <w:tr>
        <w:trPr>
          <w:tblHeader w:val="true"/>
        </w:trPr>
        <w:tc>
          <w:tcPr>
            <w:tcW w:type="dxa" w:w="230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输入项</w:t>
            </w:r>
          </w:p>
        </w:tc>
        <w:tc>
          <w:tcPr>
            <w:tcW w:type="dxa" w:w="705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案例值</w:t>
            </w:r>
          </w:p>
        </w:tc>
      </w:tr>
      <w:tr>
        <w:tc>
          <w:tcPr>
            <w:tcW w:type="dxa" w:w="23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设备台账配置</w:t>
            </w:r>
          </w:p>
        </w:tc>
        <w:tc>
          <w:tcPr>
            <w:tcW w:type="dxa" w:w="705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δ0=6 μm；δth=18 μm；指标层原始权重=0.1101；几何精度准则层权重=0.25</w:t>
            </w:r>
          </w:p>
        </w:tc>
      </w:tr>
      <w:tr>
        <w:tc>
          <w:tcPr>
            <w:tcW w:type="dxa" w:w="23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10期实测序列（μm）</w:t>
            </w:r>
          </w:p>
        </w:tc>
        <w:tc>
          <w:tcPr>
            <w:tcW w:type="dxa" w:w="705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6.3, 6.7, 7.1, 7.5, 7.9, 8.4, 8.8, 9.2, 9.7, 10.1</w:t>
            </w:r>
          </w:p>
        </w:tc>
      </w:tr>
      <w:tr>
        <w:tc>
          <w:tcPr>
            <w:tcW w:type="dxa" w:w="23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检测间隔</w:t>
            </w:r>
          </w:p>
        </w:tc>
        <w:tc>
          <w:tcPr>
            <w:tcW w:type="dxa" w:w="705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2026-01-10至2026-07-09，约每20天一次</w:t>
            </w:r>
          </w:p>
        </w:tc>
      </w:tr>
    </w:tbl>
    <w:p>
      <w:pPr>
        <w:spacing w:after="4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264"/>
        <w:gridCol w:w="3264"/>
        <w:gridCol w:w="3264"/>
      </w:tblGrid>
      <w:tr>
        <w:trPr>
          <w:tblHeader w:val="true"/>
        </w:trPr>
        <w:tc>
          <w:tcPr>
            <w:tcW w:type="dxa" w:w="172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步骤</w:t>
            </w:r>
          </w:p>
        </w:tc>
        <w:tc>
          <w:tcPr>
            <w:tcW w:type="dxa" w:w="352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计算输出</w:t>
            </w:r>
          </w:p>
        </w:tc>
        <w:tc>
          <w:tcPr>
            <w:tcW w:type="dxa" w:w="410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如何进入下一步</w:t>
            </w:r>
          </w:p>
        </w:tc>
      </w:tr>
      <w:tr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最小二乘拟合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ARDR=0.021242 μm/day；拟合曲线同时给出各时点A(t_i)</w:t>
            </w:r>
          </w:p>
        </w:tc>
        <w:tc>
          <w:tcPr>
            <w:tcW w:type="dxa" w:w="41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ARDR进入逆向评分；A(t_i)与实测值共同计算AFD</w:t>
            </w:r>
          </w:p>
        </w:tc>
      </w:tr>
      <w:tr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保持能力</w:t>
            </w:r>
          </w:p>
        </w:tc>
        <w:tc>
          <w:tcPr>
            <w:tcW w:type="dxa" w:w="35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ARD=0.834574</w:t>
            </w:r>
          </w:p>
        </w:tc>
        <w:tc>
          <w:tcPr>
            <w:tcW w:type="dxa" w:w="41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进入正向评分</w:t>
            </w:r>
          </w:p>
        </w:tc>
      </w:tr>
      <w:tr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波动程度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AFD=0.033434 μm</w:t>
            </w:r>
          </w:p>
        </w:tc>
        <w:tc>
          <w:tcPr>
            <w:tcW w:type="dxa" w:w="41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进入逆向评分</w:t>
            </w:r>
          </w:p>
        </w:tc>
      </w:tr>
      <w:tr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模糊归一化</w:t>
            </w:r>
          </w:p>
        </w:tc>
        <w:tc>
          <w:tcPr>
            <w:tcW w:type="dxa" w:w="35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ARDR 78.76分；ARD 83.46分；AFD 96.66分</w:t>
            </w:r>
          </w:p>
        </w:tc>
        <w:tc>
          <w:tcPr>
            <w:tcW w:type="dxa" w:w="41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形成客观权重v_j</w:t>
            </w:r>
          </w:p>
        </w:tc>
      </w:tr>
      <w:tr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动态组合赋权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W_ARDR=0.2806；W_ARD=0.4085；W_AFD=0.3109</w:t>
            </w:r>
          </w:p>
        </w:tc>
        <w:tc>
          <w:tcPr>
            <w:tcW w:type="dxa" w:w="41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与三个维度得分加权</w:t>
            </w:r>
          </w:p>
        </w:tc>
      </w:tr>
      <w:tr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单指标综合</w:t>
            </w:r>
          </w:p>
        </w:tc>
        <w:tc>
          <w:tcPr>
            <w:tcW w:type="dxa" w:w="35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工作台平面度得分=86.24分</w:t>
            </w:r>
          </w:p>
        </w:tc>
        <w:tc>
          <w:tcPr>
            <w:tcW w:type="dxa" w:w="41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乘几何精度内归一化指标权重0.1616，进入几何精度准则层</w:t>
            </w:r>
          </w:p>
        </w:tc>
      </w:tr>
    </w:tbl>
    <w:p>
      <w:pPr>
        <w:spacing w:after="40"/>
      </w:pPr>
    </w:p>
    <w:p>
      <w:pPr>
        <w:spacing w:before="0" w:after="120" w:line="300" w:lineRule="auto"/>
      </w:pPr>
      <w:r>
        <w:rPr>
          <w:rFonts w:ascii="PingFang SC" w:hAnsi="PingFang SC" w:eastAsia="PingFang SC"/>
          <w:b/>
          <w:i w:val="0"/>
          <w:color w:val="17375E"/>
          <w:sz w:val="21"/>
        </w:rPr>
        <w:t>讲解链条：10期实测值 + δ0/δth → 拟合和三维特征 → 三个百分制得分 → 动态组合权重 → 工作台平面度86.24分 → 几何精度分项。</w:t>
      </w:r>
    </w:p>
    <w:p>
      <w:pPr>
        <w:pStyle w:val="Heading3"/>
        <w:keepNext/>
        <w:spacing w:before="160" w:after="80"/>
      </w:pPr>
      <w:r>
        <w:rPr>
          <w:rFonts w:ascii="PingFang SC" w:hAnsi="PingFang SC" w:eastAsia="PingFang SC"/>
          <w:b/>
          <w:i w:val="0"/>
          <w:color w:val="17375E"/>
          <w:sz w:val="23"/>
        </w:rPr>
        <w:t>2.4.2 加工精度案例：外圆圆度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896"/>
        <w:gridCol w:w="4896"/>
      </w:tblGrid>
      <w:tr>
        <w:trPr>
          <w:tblHeader w:val="true"/>
        </w:trPr>
        <w:tc>
          <w:tcPr>
            <w:tcW w:type="dxa" w:w="230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输入项</w:t>
            </w:r>
          </w:p>
        </w:tc>
        <w:tc>
          <w:tcPr>
            <w:tcW w:type="dxa" w:w="705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案例值</w:t>
            </w:r>
          </w:p>
        </w:tc>
      </w:tr>
      <w:tr>
        <w:tc>
          <w:tcPr>
            <w:tcW w:type="dxa" w:w="23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产品与批次</w:t>
            </w:r>
          </w:p>
        </w:tc>
        <w:tc>
          <w:tcPr>
            <w:tcW w:type="dxa" w:w="705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阀套试件；批次PRD-VC-001-20260709</w:t>
            </w:r>
          </w:p>
        </w:tc>
      </w:tr>
      <w:tr>
        <w:tc>
          <w:tcPr>
            <w:tcW w:type="dxa" w:w="23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公差配置</w:t>
            </w:r>
          </w:p>
        </w:tc>
        <w:tc>
          <w:tcPr>
            <w:tcW w:type="dxa" w:w="705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USL=0.03 mm；LSL=0 mm；T=0.03 mm；M=0.015 mm</w:t>
            </w:r>
          </w:p>
        </w:tc>
      </w:tr>
      <w:tr>
        <w:tc>
          <w:tcPr>
            <w:tcW w:type="dxa" w:w="23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最新批次5个样本</w:t>
            </w:r>
          </w:p>
        </w:tc>
        <w:tc>
          <w:tcPr>
            <w:tcW w:type="dxa" w:w="705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0.015, 0.016, 0.014, 0.016, 0.015 mm</w:t>
            </w:r>
          </w:p>
        </w:tc>
      </w:tr>
    </w:tbl>
    <w:p>
      <w:pPr>
        <w:spacing w:after="4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264"/>
        <w:gridCol w:w="3264"/>
        <w:gridCol w:w="3264"/>
      </w:tblGrid>
      <w:tr>
        <w:trPr>
          <w:tblHeader w:val="true"/>
        </w:trPr>
        <w:tc>
          <w:tcPr>
            <w:tcW w:type="dxa" w:w="172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步骤</w:t>
            </w:r>
          </w:p>
        </w:tc>
        <w:tc>
          <w:tcPr>
            <w:tcW w:type="dxa" w:w="352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计算输出</w:t>
            </w:r>
          </w:p>
        </w:tc>
        <w:tc>
          <w:tcPr>
            <w:tcW w:type="dxa" w:w="410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如何进入下一步</w:t>
            </w:r>
          </w:p>
        </w:tc>
      </w:tr>
      <w:tr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样本统计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样本均值X̄=0.0152 mm，样本标准差由5个样本计算</w:t>
            </w:r>
          </w:p>
        </w:tc>
        <w:tc>
          <w:tcPr>
            <w:tcW w:type="dxa" w:w="41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与T、M共同进入ACD和AD</w:t>
            </w:r>
          </w:p>
        </w:tc>
      </w:tr>
      <w:tr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二维评价量</w:t>
            </w:r>
          </w:p>
        </w:tc>
        <w:tc>
          <w:tcPr>
            <w:tcW w:type="dxa" w:w="35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ACD=5.976143；AD=0.013333</w:t>
            </w:r>
          </w:p>
        </w:tc>
        <w:tc>
          <w:tcPr>
            <w:tcW w:type="dxa" w:w="41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分别进行正向、逆向归一化</w:t>
            </w:r>
          </w:p>
        </w:tc>
      </w:tr>
      <w:tr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百分制评分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ACD=100分；AD=98.67分</w:t>
            </w:r>
          </w:p>
        </w:tc>
        <w:tc>
          <w:tcPr>
            <w:tcW w:type="dxa" w:w="41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形成客观权重</w:t>
            </w:r>
          </w:p>
        </w:tc>
      </w:tr>
      <w:tr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动态组合赋权</w:t>
            </w:r>
          </w:p>
        </w:tc>
        <w:tc>
          <w:tcPr>
            <w:tcW w:type="dxa" w:w="35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W_ACD=0.5017；W_AD=0.4983</w:t>
            </w:r>
          </w:p>
        </w:tc>
        <w:tc>
          <w:tcPr>
            <w:tcW w:type="dxa" w:w="41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计算外圆圆度综合分</w:t>
            </w:r>
          </w:p>
        </w:tc>
      </w:tr>
      <w:tr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单指标综合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外圆圆度=99.34分</w:t>
            </w:r>
          </w:p>
        </w:tc>
        <w:tc>
          <w:tcPr>
            <w:tcW w:type="dxa" w:w="41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按加工精度内指标权重进入加工精度准则层</w:t>
            </w:r>
          </w:p>
        </w:tc>
      </w:tr>
    </w:tbl>
    <w:p>
      <w:pPr>
        <w:spacing w:after="40"/>
      </w:pPr>
    </w:p>
    <w:p>
      <w:pPr>
        <w:pStyle w:val="Heading3"/>
        <w:keepNext/>
        <w:spacing w:before="160" w:after="80"/>
      </w:pPr>
      <w:r>
        <w:rPr>
          <w:rFonts w:ascii="PingFang SC" w:hAnsi="PingFang SC" w:eastAsia="PingFang SC"/>
          <w:b/>
          <w:i w:val="0"/>
          <w:color w:val="17375E"/>
          <w:sz w:val="23"/>
        </w:rPr>
        <w:t>2.4.3 逐层汇总结果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48"/>
        <w:gridCol w:w="2448"/>
        <w:gridCol w:w="2448"/>
        <w:gridCol w:w="2448"/>
      </w:tblGrid>
      <w:tr>
        <w:trPr>
          <w:tblHeader w:val="true"/>
        </w:trPr>
        <w:tc>
          <w:tcPr>
            <w:tcW w:type="dxa" w:w="180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准则层</w:t>
            </w:r>
          </w:p>
        </w:tc>
        <w:tc>
          <w:tcPr>
            <w:tcW w:type="dxa" w:w="208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准则层得分B_k</w:t>
            </w:r>
          </w:p>
        </w:tc>
        <w:tc>
          <w:tcPr>
            <w:tcW w:type="dxa" w:w="208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准则层权重W_Bk</w:t>
            </w:r>
          </w:p>
        </w:tc>
        <w:tc>
          <w:tcPr>
            <w:tcW w:type="dxa" w:w="338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对整机总分的贡献</w:t>
            </w:r>
          </w:p>
        </w:tc>
      </w:tr>
      <w:tr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几何精度</w:t>
            </w:r>
          </w:p>
        </w:tc>
        <w:tc>
          <w:tcPr>
            <w:tcW w:type="dxa" w:w="208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82.11</w:t>
            </w:r>
          </w:p>
        </w:tc>
        <w:tc>
          <w:tcPr>
            <w:tcW w:type="dxa" w:w="208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0.25</w:t>
            </w:r>
          </w:p>
        </w:tc>
        <w:tc>
          <w:tcPr>
            <w:tcW w:type="dxa" w:w="33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20.5275</w:t>
            </w:r>
          </w:p>
        </w:tc>
      </w:tr>
      <w:tr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位置精度</w:t>
            </w:r>
          </w:p>
        </w:tc>
        <w:tc>
          <w:tcPr>
            <w:tcW w:type="dxa" w:w="208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75.69</w:t>
            </w:r>
          </w:p>
        </w:tc>
        <w:tc>
          <w:tcPr>
            <w:tcW w:type="dxa" w:w="208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0.25</w:t>
            </w:r>
          </w:p>
        </w:tc>
        <w:tc>
          <w:tcPr>
            <w:tcW w:type="dxa" w:w="33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18.9225</w:t>
            </w:r>
          </w:p>
        </w:tc>
      </w:tr>
      <w:tr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加工精度</w:t>
            </w:r>
          </w:p>
        </w:tc>
        <w:tc>
          <w:tcPr>
            <w:tcW w:type="dxa" w:w="208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96.04</w:t>
            </w:r>
          </w:p>
        </w:tc>
        <w:tc>
          <w:tcPr>
            <w:tcW w:type="dxa" w:w="208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0.50</w:t>
            </w:r>
          </w:p>
        </w:tc>
        <w:tc>
          <w:tcPr>
            <w:tcW w:type="dxa" w:w="33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48.0200</w:t>
            </w:r>
          </w:p>
        </w:tc>
      </w:tr>
      <w:tr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整机目标层</w:t>
            </w:r>
          </w:p>
        </w:tc>
        <w:tc>
          <w:tcPr>
            <w:tcW w:type="dxa" w:w="208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87.47</w:t>
            </w:r>
          </w:p>
        </w:tc>
        <w:tc>
          <w:tcPr>
            <w:tcW w:type="dxa" w:w="208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1.00</w:t>
            </w:r>
          </w:p>
        </w:tc>
        <w:tc>
          <w:tcPr>
            <w:tcW w:type="dxa" w:w="33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82.11×0.25 + 75.69×0.25 + 96.04×0.50</w:t>
            </w:r>
          </w:p>
        </w:tc>
      </w:tr>
    </w:tbl>
    <w:p>
      <w:pPr>
        <w:spacing w:after="4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92"/>
      </w:tblGrid>
      <w:tr>
        <w:tc>
          <w:tcPr>
            <w:tcW w:type="dxa" w:w="9144"/>
            <w:shd w:fill="E2F0D9"/>
            <w:tcBorders>
              <w:top w:val="single" w:sz="6" w:color="E2F0D9"/>
              <w:left w:val="single" w:sz="6" w:color="E2F0D9"/>
              <w:bottom w:val="single" w:sz="6" w:color="E2F0D9"/>
              <w:right w:val="single" w:sz="6" w:color="E2F0D9"/>
              <w:insideH w:val="single" w:sz="6" w:color="E2F0D9"/>
              <w:insideV w:val="single" w:sz="6" w:color="E2F0D9"/>
            </w:tcBorders>
            <w:tcMar>
              <w:top w:w="150" w:type="dxa"/>
              <w:start w:w="180" w:type="dxa"/>
              <w:bottom w:w="150" w:type="dxa"/>
              <w:end w:w="180" w:type="dxa"/>
            </w:tcMar>
          </w:tcPr>
          <w:p>
            <w:pPr>
              <w:spacing w:after="80"/>
            </w:pPr>
            <w:r>
              <w:rPr>
                <w:rFonts w:ascii="PingFang SC" w:hAnsi="PingFang SC" w:eastAsia="PingFang SC"/>
                <w:b/>
                <w:i w:val="0"/>
                <w:color w:val="17375E"/>
                <w:sz w:val="22"/>
              </w:rPr>
              <w:t>案例结论</w:t>
            </w:r>
          </w:p>
          <w:p>
            <w:pPr>
              <w:spacing w:after="0" w:line="300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20"/>
              </w:rPr>
              <w:t>整机综合得分87.47分，数据覆盖率100%，有效指标9项。加工精度96.04分表现最好；位置精度75.69分相对较低，其中垂直刀架Z1轴定位精度68.91分，是应优先关注的薄弱方向。</w:t>
            </w:r>
          </w:p>
        </w:tc>
      </w:tr>
    </w:tbl>
    <w:p>
      <w:pPr>
        <w:spacing w:after="20"/>
      </w:pPr>
    </w:p>
    <w:p>
      <w:pPr>
        <w:pStyle w:val="Heading1"/>
        <w:keepNext/>
        <w:spacing w:before="320" w:after="160"/>
      </w:pPr>
      <w:r>
        <w:rPr>
          <w:rFonts w:ascii="PingFang SC" w:hAnsi="PingFang SC" w:eastAsia="PingFang SC"/>
          <w:b/>
          <w:i w:val="0"/>
          <w:color w:val="2E74B5"/>
          <w:sz w:val="32"/>
        </w:rPr>
        <w:t>3. 功能部件精度保持性评价</w:t>
      </w:r>
    </w:p>
    <w:p>
      <w:pPr>
        <w:spacing w:before="0" w:after="120" w:line="300" w:lineRule="auto"/>
      </w:pPr>
      <w:r>
        <w:rPr>
          <w:rFonts w:ascii="PingFang SC" w:hAnsi="PingFang SC" w:eastAsia="PingFang SC"/>
          <w:b w:val="0"/>
          <w:i w:val="0"/>
          <w:color w:val="1F2937"/>
          <w:sz w:val="21"/>
        </w:rPr>
        <w:t>部件评价适用于刀架、主轴、回转台、刀库和铣头等。它不采用整机的三层加权总分流程，而是先执行失效判定，再在“保持时间”和“保持度”之间选择评价方法。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943600" cy="39624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部件精度保持性评估流程图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PingFang SC" w:hAnsi="PingFang SC" w:eastAsia="PingFang SC"/>
          <w:b w:val="0"/>
          <w:i/>
          <w:color w:val="66758A"/>
          <w:sz w:val="19"/>
        </w:rPr>
        <w:t>图2 功能部件精度保持性评价分支逻辑（Image 2生成）</w:t>
      </w: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3.1 部件评价需要哪些输入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48"/>
        <w:gridCol w:w="2448"/>
        <w:gridCol w:w="2448"/>
        <w:gridCol w:w="2448"/>
      </w:tblGrid>
      <w:tr>
        <w:trPr>
          <w:tblHeader w:val="true"/>
        </w:trPr>
        <w:tc>
          <w:tcPr>
            <w:tcW w:type="dxa" w:w="158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输入组</w:t>
            </w:r>
          </w:p>
        </w:tc>
        <w:tc>
          <w:tcPr>
            <w:tcW w:type="dxa" w:w="367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具体字段/数据</w:t>
            </w:r>
          </w:p>
        </w:tc>
        <w:tc>
          <w:tcPr>
            <w:tcW w:type="dxa" w:w="194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来源</w:t>
            </w:r>
          </w:p>
        </w:tc>
        <w:tc>
          <w:tcPr>
            <w:tcW w:type="dxa" w:w="216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用途</w:t>
            </w:r>
          </w:p>
        </w:tc>
      </w:tr>
      <w:tr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部件资产</w:t>
            </w:r>
          </w:p>
        </w:tc>
        <w:tc>
          <w:tcPr>
            <w:tcW w:type="dxa" w:w="367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部件编号、名称、类型（主轴/刀架/回转台/刀库/铣头）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设备台账</w:t>
            </w:r>
          </w:p>
        </w:tc>
        <w:tc>
          <w:tcPr>
            <w:tcW w:type="dxa" w:w="216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确定被评对象和应绑定的精度指标</w:t>
            </w:r>
          </w:p>
        </w:tc>
      </w:tr>
      <w:tr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指标边界</w:t>
            </w:r>
          </w:p>
        </w:tc>
        <w:tc>
          <w:tcPr>
            <w:tcW w:type="dxa" w:w="367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每项指标出厂标准值δ0、失效阈值δth、单位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设备台账→配置指标</w:t>
            </w:r>
          </w:p>
        </w:tc>
        <w:tc>
          <w:tcPr>
            <w:tcW w:type="dxa" w:w="216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失效判定和ARD计算</w:t>
            </w:r>
          </w:p>
        </w:tc>
      </w:tr>
      <w:tr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循环参数</w:t>
            </w:r>
          </w:p>
        </w:tc>
        <w:tc>
          <w:tcPr>
            <w:tcW w:type="dxa" w:w="367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单循环小时h_cycle；试验计划预设循环次数N</w:t>
            </w:r>
          </w:p>
        </w:tc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设备台账；试验方案</w:t>
            </w:r>
          </w:p>
        </w:tc>
        <w:tc>
          <w:tcPr>
            <w:tcW w:type="dxa" w:w="216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把失效循环换算为保持时间；N控制试验终止边界</w:t>
            </w:r>
          </w:p>
        </w:tc>
      </w:tr>
      <w:tr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循环记录</w:t>
            </w:r>
          </w:p>
        </w:tc>
        <w:tc>
          <w:tcPr>
            <w:tcW w:type="dxa" w:w="367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循环后的检测时间t_i、循环次序i、各指标实测值δ_i</w:t>
            </w:r>
          </w:p>
        </w:tc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数据采集</w:t>
            </w:r>
          </w:p>
        </w:tc>
        <w:tc>
          <w:tcPr>
            <w:tcW w:type="dxa" w:w="216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逐指标失效判定和保持度计算</w:t>
            </w:r>
          </w:p>
        </w:tc>
      </w:tr>
    </w:tbl>
    <w:p>
      <w:pPr>
        <w:spacing w:after="4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92"/>
      </w:tblGrid>
      <w:tr>
        <w:tc>
          <w:tcPr>
            <w:tcW w:type="dxa" w:w="9144"/>
            <w:shd w:fill="FCE4D6"/>
            <w:tcBorders>
              <w:top w:val="single" w:sz="6" w:color="FCE4D6"/>
              <w:left w:val="single" w:sz="6" w:color="FCE4D6"/>
              <w:bottom w:val="single" w:sz="6" w:color="FCE4D6"/>
              <w:right w:val="single" w:sz="6" w:color="FCE4D6"/>
              <w:insideH w:val="single" w:sz="6" w:color="FCE4D6"/>
              <w:insideV w:val="single" w:sz="6" w:color="FCE4D6"/>
            </w:tcBorders>
            <w:tcMar>
              <w:top w:w="150" w:type="dxa"/>
              <w:start w:w="180" w:type="dxa"/>
              <w:bottom w:w="150" w:type="dxa"/>
              <w:end w:w="180" w:type="dxa"/>
            </w:tcMar>
          </w:tcPr>
          <w:p>
            <w:pPr>
              <w:spacing w:after="80"/>
            </w:pPr>
            <w:r>
              <w:rPr>
                <w:rFonts w:ascii="PingFang SC" w:hAnsi="PingFang SC" w:eastAsia="PingFang SC"/>
                <w:b/>
                <w:i w:val="0"/>
                <w:color w:val="17375E"/>
                <w:sz w:val="22"/>
              </w:rPr>
              <w:t>关于预设循环次数N</w:t>
            </w:r>
          </w:p>
          <w:p>
            <w:pPr>
              <w:spacing w:after="0" w:line="300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20"/>
              </w:rPr>
              <w:t>规范要求试验方案预设固定循环次数。当前软件由“已经录入的循环记录范围”体现试验终止边界，尚未把N作为独立数据库字段参与公式；演示时可将N解释为试验计划参数。单循环小时已作为独立配置并实际用于保持时间换算。</w:t>
            </w:r>
          </w:p>
        </w:tc>
      </w:tr>
    </w:tbl>
    <w:p>
      <w:pPr>
        <w:spacing w:after="20"/>
      </w:pP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3.2 部件评价逐步链路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958"/>
        <w:gridCol w:w="1958"/>
        <w:gridCol w:w="1958"/>
        <w:gridCol w:w="1958"/>
        <w:gridCol w:w="1958"/>
      </w:tblGrid>
      <w:tr>
        <w:trPr>
          <w:tblHeader w:val="true"/>
        </w:trPr>
        <w:tc>
          <w:tcPr>
            <w:tcW w:type="dxa" w:w="144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环节</w:t>
            </w:r>
          </w:p>
        </w:tc>
        <w:tc>
          <w:tcPr>
            <w:tcW w:type="dxa" w:w="237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输入</w:t>
            </w:r>
          </w:p>
        </w:tc>
        <w:tc>
          <w:tcPr>
            <w:tcW w:type="dxa" w:w="374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判断/公式</w:t>
            </w:r>
          </w:p>
        </w:tc>
        <w:tc>
          <w:tcPr>
            <w:tcW w:type="dxa" w:w="172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输出</w:t>
            </w:r>
          </w:p>
        </w:tc>
        <w:tc>
          <w:tcPr>
            <w:tcW w:type="dxa" w:w="151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后续</w:t>
            </w:r>
          </w:p>
        </w:tc>
      </w:tr>
      <w:tr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A. 完整性检查</w:t>
            </w:r>
          </w:p>
        </w:tc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绑定指标、δ0、δth、至少2期有效记录</w:t>
            </w:r>
          </w:p>
        </w:tc>
        <w:tc>
          <w:tcPr>
            <w:tcW w:type="dxa" w:w="37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缺失任一关键项则标记缺失，不给出完整评价</w:t>
            </w:r>
          </w:p>
        </w:tc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可评价指标集合、缺失清单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逐项失效判定</w:t>
            </w:r>
          </w:p>
        </w:tc>
      </w:tr>
      <w:tr>
        <w:tc>
          <w:tcPr>
            <w:tcW w:type="dxa" w:w="14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B. 失效判定</w:t>
            </w:r>
          </w:p>
        </w:tc>
        <w:tc>
          <w:tcPr>
            <w:tcW w:type="dxa" w:w="237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每项δ_i与δth</w:t>
            </w:r>
          </w:p>
        </w:tc>
        <w:tc>
          <w:tcPr>
            <w:tcW w:type="dxa" w:w="37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按时间顺序寻找首次δ_i&gt;δth</w:t>
            </w:r>
          </w:p>
        </w:tc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是否失效、首次失效循环i_f、失效时间t_f</w:t>
            </w:r>
          </w:p>
        </w:tc>
        <w:tc>
          <w:tcPr>
            <w:tcW w:type="dxa" w:w="151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决定保持时间或保持度分支</w:t>
            </w:r>
          </w:p>
        </w:tc>
      </w:tr>
      <w:tr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C1. 已失效分支</w:t>
            </w:r>
          </w:p>
        </w:tc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i_f、h_cycle；若未配置h_cycle则使用t_f-t_0</w:t>
            </w:r>
          </w:p>
        </w:tc>
        <w:tc>
          <w:tcPr>
            <w:tcW w:type="dxa" w:w="37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T_r=i_f×h_cycle；回退公式T_r=t_f-t_0</w:t>
            </w:r>
          </w:p>
        </w:tc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该指标保持时间、失效循环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部件整体取最早失效指标的保持时间</w:t>
            </w:r>
          </w:p>
        </w:tc>
      </w:tr>
      <w:tr>
        <w:tc>
          <w:tcPr>
            <w:tcW w:type="dxa" w:w="14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C2. 未失效分支</w:t>
            </w:r>
          </w:p>
        </w:tc>
        <w:tc>
          <w:tcPr>
            <w:tcW w:type="dxa" w:w="237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全周期δ_i、δ0、δth</w:t>
            </w:r>
          </w:p>
        </w:tc>
        <w:tc>
          <w:tcPr>
            <w:tcW w:type="dxa" w:w="37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Δδ_mean=(1/n)Σ|δ_i-δ0|；ARD=ρ·exp[-Δδ_mean/(δth-δ0)]</w:t>
            </w:r>
          </w:p>
        </w:tc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单指标保持度ARD及百分制ARD×100</w:t>
            </w:r>
          </w:p>
        </w:tc>
        <w:tc>
          <w:tcPr>
            <w:tcW w:type="dxa" w:w="151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多个有效指标得分求平均</w:t>
            </w:r>
          </w:p>
        </w:tc>
      </w:tr>
      <w:tr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D. 结果呈现</w:t>
            </w:r>
          </w:p>
        </w:tc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分支结果、最新值、阈值、缺失项</w:t>
            </w:r>
          </w:p>
        </w:tc>
        <w:tc>
          <w:tcPr>
            <w:tcW w:type="dxa" w:w="37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按分支组织输出</w:t>
            </w:r>
          </w:p>
        </w:tc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保持时间或综合得分、指标明细、状态、完整性</w:t>
            </w:r>
          </w:p>
        </w:tc>
        <w:tc>
          <w:tcPr>
            <w:tcW w:type="dxa" w:w="151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页面展示</w:t>
            </w:r>
          </w:p>
        </w:tc>
      </w:tr>
    </w:tbl>
    <w:p>
      <w:pPr>
        <w:spacing w:after="40"/>
      </w:pP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3.3 部件案例一：精密主轴A样件（未失效）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399"/>
        <w:gridCol w:w="1399"/>
        <w:gridCol w:w="1399"/>
        <w:gridCol w:w="1399"/>
        <w:gridCol w:w="1399"/>
        <w:gridCol w:w="1399"/>
        <w:gridCol w:w="1399"/>
      </w:tblGrid>
      <w:tr>
        <w:trPr>
          <w:tblHeader w:val="true"/>
        </w:trPr>
        <w:tc>
          <w:tcPr>
            <w:tcW w:type="dxa" w:w="208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指标</w:t>
            </w:r>
          </w:p>
        </w:tc>
        <w:tc>
          <w:tcPr>
            <w:tcW w:type="dxa" w:w="115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δ0</w:t>
            </w:r>
          </w:p>
        </w:tc>
        <w:tc>
          <w:tcPr>
            <w:tcW w:type="dxa" w:w="115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δth</w:t>
            </w:r>
          </w:p>
        </w:tc>
        <w:tc>
          <w:tcPr>
            <w:tcW w:type="dxa" w:w="129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最新值</w:t>
            </w:r>
          </w:p>
        </w:tc>
        <w:tc>
          <w:tcPr>
            <w:tcW w:type="dxa" w:w="144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判定</w:t>
            </w:r>
          </w:p>
        </w:tc>
        <w:tc>
          <w:tcPr>
            <w:tcW w:type="dxa" w:w="136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保持度</w:t>
            </w:r>
          </w:p>
        </w:tc>
        <w:tc>
          <w:tcPr>
            <w:tcW w:type="dxa" w:w="108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得分</w:t>
            </w:r>
          </w:p>
        </w:tc>
      </w:tr>
      <w:tr>
        <w:tc>
          <w:tcPr>
            <w:tcW w:type="dxa" w:w="208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主轴径向跳动</w:t>
            </w:r>
          </w:p>
        </w:tc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3.0 μm</w:t>
            </w:r>
          </w:p>
        </w:tc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10.0 μm</w:t>
            </w:r>
          </w:p>
        </w:tc>
        <w:tc>
          <w:tcPr>
            <w:tcW w:type="dxa" w:w="12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5.1 μm</w:t>
            </w:r>
          </w:p>
        </w:tc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未失效</w:t>
            </w:r>
          </w:p>
        </w:tc>
        <w:tc>
          <w:tcPr>
            <w:tcW w:type="dxa" w:w="136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0.864816</w:t>
            </w:r>
          </w:p>
        </w:tc>
        <w:tc>
          <w:tcPr>
            <w:tcW w:type="dxa" w:w="108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86.48</w:t>
            </w:r>
          </w:p>
        </w:tc>
      </w:tr>
      <w:tr>
        <w:tc>
          <w:tcPr>
            <w:tcW w:type="dxa" w:w="208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主轴端面跳动</w:t>
            </w:r>
          </w:p>
        </w:tc>
        <w:tc>
          <w:tcPr>
            <w:tcW w:type="dxa" w:w="115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2.5 μm</w:t>
            </w:r>
          </w:p>
        </w:tc>
        <w:tc>
          <w:tcPr>
            <w:tcW w:type="dxa" w:w="115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8.0 μm</w:t>
            </w:r>
          </w:p>
        </w:tc>
        <w:tc>
          <w:tcPr>
            <w:tcW w:type="dxa" w:w="12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4.3 μm</w:t>
            </w:r>
          </w:p>
        </w:tc>
        <w:tc>
          <w:tcPr>
            <w:tcW w:type="dxa" w:w="144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未失效</w:t>
            </w:r>
          </w:p>
        </w:tc>
        <w:tc>
          <w:tcPr>
            <w:tcW w:type="dxa" w:w="136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0.846482</w:t>
            </w:r>
          </w:p>
        </w:tc>
        <w:tc>
          <w:tcPr>
            <w:tcW w:type="dxa" w:w="108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84.65</w:t>
            </w:r>
          </w:p>
        </w:tc>
      </w:tr>
      <w:tr>
        <w:tc>
          <w:tcPr>
            <w:tcW w:type="dxa" w:w="208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部件综合</w:t>
            </w:r>
          </w:p>
        </w:tc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-</w:t>
            </w:r>
          </w:p>
        </w:tc>
        <w:tc>
          <w:tcPr>
            <w:tcW w:type="dxa" w:w="115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-</w:t>
            </w:r>
          </w:p>
        </w:tc>
        <w:tc>
          <w:tcPr>
            <w:tcW w:type="dxa" w:w="12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-</w:t>
            </w:r>
          </w:p>
        </w:tc>
        <w:tc>
          <w:tcPr>
            <w:tcW w:type="dxa" w:w="144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保持度评价</w:t>
            </w:r>
          </w:p>
        </w:tc>
        <w:tc>
          <w:tcPr>
            <w:tcW w:type="dxa" w:w="136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两项平均</w:t>
            </w:r>
          </w:p>
        </w:tc>
        <w:tc>
          <w:tcPr>
            <w:tcW w:type="dxa" w:w="108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85.56</w:t>
            </w:r>
          </w:p>
        </w:tc>
      </w:tr>
    </w:tbl>
    <w:p>
      <w:pPr>
        <w:spacing w:after="40"/>
      </w:pPr>
    </w:p>
    <w:p>
      <w:pPr>
        <w:spacing w:before="0" w:after="120" w:line="300" w:lineRule="auto"/>
      </w:pPr>
      <w:r>
        <w:rPr>
          <w:rFonts w:ascii="PingFang SC" w:hAnsi="PingFang SC" w:eastAsia="PingFang SC"/>
          <w:b/>
          <w:i w:val="0"/>
          <w:color w:val="17375E"/>
          <w:sz w:val="21"/>
        </w:rPr>
        <w:t>讲解链条：各循环实测值均未超过δth → 对每项计算Δδ_mean和ARD → ARD×100形成单项分 → 两项平均得到部件综合得分85.56分。</w:t>
      </w: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3.4 部件案例二：立式刀架B样件（已失效）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264"/>
        <w:gridCol w:w="3264"/>
        <w:gridCol w:w="3264"/>
      </w:tblGrid>
      <w:tr>
        <w:trPr>
          <w:tblHeader w:val="true"/>
        </w:trPr>
        <w:tc>
          <w:tcPr>
            <w:tcW w:type="dxa" w:w="194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输入/事件</w:t>
            </w:r>
          </w:p>
        </w:tc>
        <w:tc>
          <w:tcPr>
            <w:tcW w:type="dxa" w:w="352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案例值</w:t>
            </w:r>
          </w:p>
        </w:tc>
        <w:tc>
          <w:tcPr>
            <w:tcW w:type="dxa" w:w="388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8"/>
              </w:rPr>
              <w:t>进入的计算</w:t>
            </w:r>
          </w:p>
        </w:tc>
      </w:tr>
      <w:tr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失效指标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刀架Z1轴定位精度</w:t>
            </w:r>
          </w:p>
        </w:tc>
        <w:tc>
          <w:tcPr>
            <w:tcW w:type="dxa" w:w="388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该指标决定部件切换到保持时间评价</w:t>
            </w:r>
          </w:p>
        </w:tc>
      </w:tr>
      <w:tr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边界</w:t>
            </w:r>
          </w:p>
        </w:tc>
        <w:tc>
          <w:tcPr>
            <w:tcW w:type="dxa" w:w="35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δ0=5.0 μm；δth=14.0 μm</w:t>
            </w:r>
          </w:p>
        </w:tc>
        <w:tc>
          <w:tcPr>
            <w:tcW w:type="dxa" w:w="388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逐循环比较δ_i&gt;14.0</w:t>
            </w:r>
          </w:p>
        </w:tc>
      </w:tr>
      <w:tr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首次失效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第4个加载循环后超过阈值；最新值15.2 μm</w:t>
            </w:r>
          </w:p>
        </w:tc>
        <w:tc>
          <w:tcPr>
            <w:tcW w:type="dxa" w:w="388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i_f=4</w:t>
            </w:r>
          </w:p>
        </w:tc>
      </w:tr>
      <w:tr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单循环小时</w:t>
            </w:r>
          </w:p>
        </w:tc>
        <w:tc>
          <w:tcPr>
            <w:tcW w:type="dxa" w:w="35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h_cycle=8小时</w:t>
            </w:r>
          </w:p>
        </w:tc>
        <w:tc>
          <w:tcPr>
            <w:tcW w:type="dxa" w:w="388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T_r=i_f×h_cycle</w:t>
            </w:r>
          </w:p>
        </w:tc>
      </w:tr>
      <w:tr>
        <w:tc>
          <w:tcPr>
            <w:tcW w:type="dxa" w:w="194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保持时间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4×8=32小时</w:t>
            </w:r>
          </w:p>
        </w:tc>
        <w:tc>
          <w:tcPr>
            <w:tcW w:type="dxa" w:w="388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部件整体精度保持时间=32小时</w:t>
            </w:r>
          </w:p>
        </w:tc>
      </w:tr>
      <w:tr>
        <w:tc>
          <w:tcPr>
            <w:tcW w:type="dxa" w:w="194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另一未失效指标</w:t>
            </w:r>
          </w:p>
        </w:tc>
        <w:tc>
          <w:tcPr>
            <w:tcW w:type="dxa" w:w="35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Z1轴重复定位精度保持度得分72.86</w:t>
            </w:r>
          </w:p>
        </w:tc>
        <w:tc>
          <w:tcPr>
            <w:tcW w:type="dxa" w:w="388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8"/>
              </w:rPr>
              <w:t>保留在明细中，但整体评价方法仍以最先失效指标为准</w:t>
            </w:r>
          </w:p>
        </w:tc>
      </w:tr>
    </w:tbl>
    <w:p>
      <w:pPr>
        <w:spacing w:after="4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92"/>
      </w:tblGrid>
      <w:tr>
        <w:tc>
          <w:tcPr>
            <w:tcW w:type="dxa" w:w="9144"/>
            <w:shd w:fill="F4CCCC"/>
            <w:tcBorders>
              <w:top w:val="single" w:sz="6" w:color="F4CCCC"/>
              <w:left w:val="single" w:sz="6" w:color="F4CCCC"/>
              <w:bottom w:val="single" w:sz="6" w:color="F4CCCC"/>
              <w:right w:val="single" w:sz="6" w:color="F4CCCC"/>
              <w:insideH w:val="single" w:sz="6" w:color="F4CCCC"/>
              <w:insideV w:val="single" w:sz="6" w:color="F4CCCC"/>
            </w:tcBorders>
            <w:tcMar>
              <w:top w:w="150" w:type="dxa"/>
              <w:start w:w="180" w:type="dxa"/>
              <w:bottom w:w="150" w:type="dxa"/>
              <w:end w:w="180" w:type="dxa"/>
            </w:tcMar>
          </w:tcPr>
          <w:p>
            <w:pPr>
              <w:spacing w:after="80"/>
            </w:pPr>
            <w:r>
              <w:rPr>
                <w:rFonts w:ascii="PingFang SC" w:hAnsi="PingFang SC" w:eastAsia="PingFang SC"/>
                <w:b/>
                <w:i w:val="0"/>
                <w:color w:val="17375E"/>
                <w:sz w:val="22"/>
              </w:rPr>
              <w:t>为什么不是再给一个平均分？</w:t>
            </w:r>
          </w:p>
          <w:p>
            <w:pPr>
              <w:spacing w:after="0" w:line="300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20"/>
              </w:rPr>
              <w:t>规范规定，功能部件任一关键精度指标超过设计允许值即可判为精度失效。此时最有意义的结果是“有效精度维持了多久”，所以整体输出32小时，而不是把已失效指标与未失效指标继续平均成一个分数。</w:t>
            </w:r>
          </w:p>
        </w:tc>
      </w:tr>
    </w:tbl>
    <w:p>
      <w:pPr>
        <w:spacing w:after="20"/>
      </w:pPr>
    </w:p>
    <w:p>
      <w:r>
        <w:br w:type="page"/>
      </w:r>
    </w:p>
    <w:p>
      <w:pPr>
        <w:pStyle w:val="Heading1"/>
        <w:keepNext/>
        <w:spacing w:before="320" w:after="160"/>
      </w:pPr>
      <w:r>
        <w:rPr>
          <w:rFonts w:ascii="PingFang SC" w:hAnsi="PingFang SC" w:eastAsia="PingFang SC"/>
          <w:b/>
          <w:i w:val="0"/>
          <w:color w:val="2E74B5"/>
          <w:sz w:val="32"/>
        </w:rPr>
        <w:t>4. 软件页面与数据存储的对应关系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48"/>
        <w:gridCol w:w="2448"/>
        <w:gridCol w:w="2448"/>
        <w:gridCol w:w="2448"/>
      </w:tblGrid>
      <w:tr>
        <w:trPr>
          <w:tblHeader w:val="true"/>
        </w:trPr>
        <w:tc>
          <w:tcPr>
            <w:tcW w:type="dxa" w:w="158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业务环节</w:t>
            </w:r>
          </w:p>
        </w:tc>
        <w:tc>
          <w:tcPr>
            <w:tcW w:type="dxa" w:w="223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用户看到的页面</w:t>
            </w:r>
          </w:p>
        </w:tc>
        <w:tc>
          <w:tcPr>
            <w:tcW w:type="dxa" w:w="309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主要持久化数据</w:t>
            </w:r>
          </w:p>
        </w:tc>
        <w:tc>
          <w:tcPr>
            <w:tcW w:type="dxa" w:w="244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评价时读取</w:t>
            </w:r>
          </w:p>
        </w:tc>
      </w:tr>
      <w:tr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建设对象</w:t>
            </w:r>
          </w:p>
        </w:tc>
        <w:tc>
          <w:tcPr>
            <w:tcW w:type="dxa" w:w="223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整机/部件资产、机型、资产编码</w:t>
            </w:r>
          </w:p>
        </w:tc>
        <w:tc>
          <w:tcPr>
            <w:tcW w:type="dxa" w:w="244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选择评估对象和机型分类</w:t>
            </w:r>
          </w:p>
        </w:tc>
      </w:tr>
      <w:tr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配置整机指标</w:t>
            </w:r>
          </w:p>
        </w:tc>
        <w:tc>
          <w:tcPr>
            <w:tcW w:type="dxa" w:w="223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设备台账→配置指标</w:t>
            </w:r>
          </w:p>
        </w:tc>
        <w:tc>
          <w:tcPr>
            <w:tcW w:type="dxa" w:w="30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绑定指标、δ0、δth、权重、归一化边界、单位</w:t>
            </w:r>
          </w:p>
        </w:tc>
        <w:tc>
          <w:tcPr>
            <w:tcW w:type="dxa" w:w="244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整机特征、评分和逐层汇总</w:t>
            </w:r>
          </w:p>
        </w:tc>
      </w:tr>
      <w:tr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配置加工制品</w:t>
            </w:r>
          </w:p>
        </w:tc>
        <w:tc>
          <w:tcPr>
            <w:tcW w:type="dxa" w:w="223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设备台账→绑定制品；参数设置→制品指标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产品定义、资产产品绑定、加工指标USL/LSL</w:t>
            </w:r>
          </w:p>
        </w:tc>
        <w:tc>
          <w:tcPr>
            <w:tcW w:type="dxa" w:w="244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加工ACD/AD</w:t>
            </w:r>
          </w:p>
        </w:tc>
      </w:tr>
      <w:tr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录入整机检测</w:t>
            </w:r>
          </w:p>
        </w:tc>
        <w:tc>
          <w:tcPr>
            <w:tcW w:type="dxa" w:w="223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数据采集</w:t>
            </w:r>
          </w:p>
        </w:tc>
        <w:tc>
          <w:tcPr>
            <w:tcW w:type="dxa" w:w="30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检测时间、指标值或多次样本</w:t>
            </w:r>
          </w:p>
        </w:tc>
        <w:tc>
          <w:tcPr>
            <w:tcW w:type="dxa" w:w="244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几何/位置退化序列</w:t>
            </w:r>
          </w:p>
        </w:tc>
      </w:tr>
      <w:tr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录入制品样本</w:t>
            </w:r>
          </w:p>
        </w:tc>
        <w:tc>
          <w:tcPr>
            <w:tcW w:type="dxa" w:w="223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制品数据录入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产品批次、生产数量、各加工指标样本值</w:t>
            </w:r>
          </w:p>
        </w:tc>
        <w:tc>
          <w:tcPr>
            <w:tcW w:type="dxa" w:w="244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最新批次ACD/AD</w:t>
            </w:r>
          </w:p>
        </w:tc>
      </w:tr>
      <w:tr>
        <w:tc>
          <w:tcPr>
            <w:tcW w:type="dxa" w:w="15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录入部件循环数据</w:t>
            </w:r>
          </w:p>
        </w:tc>
        <w:tc>
          <w:tcPr>
            <w:tcW w:type="dxa" w:w="223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数据采集</w:t>
            </w:r>
          </w:p>
        </w:tc>
        <w:tc>
          <w:tcPr>
            <w:tcW w:type="dxa" w:w="30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循环后的检测时间与各指标值</w:t>
            </w:r>
          </w:p>
        </w:tc>
        <w:tc>
          <w:tcPr>
            <w:tcW w:type="dxa" w:w="244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失效判定、保持时间/保持度</w:t>
            </w:r>
          </w:p>
        </w:tc>
      </w:tr>
      <w:tr>
        <w:tc>
          <w:tcPr>
            <w:tcW w:type="dxa" w:w="15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查看结果</w:t>
            </w:r>
          </w:p>
        </w:tc>
        <w:tc>
          <w:tcPr>
            <w:tcW w:type="dxa" w:w="223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数据分析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当前版本实时计算，不依赖旧结果快照</w:t>
            </w:r>
          </w:p>
        </w:tc>
        <w:tc>
          <w:tcPr>
            <w:tcW w:type="dxa" w:w="244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总分/保持时间、分项、明细、完整性</w:t>
            </w:r>
          </w:p>
        </w:tc>
      </w:tr>
    </w:tbl>
    <w:p>
      <w:pPr>
        <w:spacing w:after="40"/>
      </w:pP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4.1 配置字段的业务含义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48"/>
        <w:gridCol w:w="2448"/>
        <w:gridCol w:w="2448"/>
        <w:gridCol w:w="2448"/>
      </w:tblGrid>
      <w:tr>
        <w:trPr>
          <w:tblHeader w:val="true"/>
        </w:trPr>
        <w:tc>
          <w:tcPr>
            <w:tcW w:type="dxa" w:w="180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字段</w:t>
            </w:r>
          </w:p>
        </w:tc>
        <w:tc>
          <w:tcPr>
            <w:tcW w:type="dxa" w:w="172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适用对象</w:t>
            </w:r>
          </w:p>
        </w:tc>
        <w:tc>
          <w:tcPr>
            <w:tcW w:type="dxa" w:w="396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含义</w:t>
            </w:r>
          </w:p>
        </w:tc>
        <w:tc>
          <w:tcPr>
            <w:tcW w:type="dxa" w:w="1872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是否操作者日常修改</w:t>
            </w:r>
          </w:p>
        </w:tc>
      </w:tr>
      <w:tr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δ0 出厂/标准值</w:t>
            </w:r>
          </w:p>
        </w:tc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几何、位置、部件</w:t>
            </w:r>
          </w:p>
        </w:tc>
        <w:tc>
          <w:tcPr>
            <w:tcW w:type="dxa" w:w="396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交付或试验开始时的基准精度</w:t>
            </w:r>
          </w:p>
        </w:tc>
        <w:tc>
          <w:tcPr>
            <w:tcW w:type="dxa" w:w="187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否，由管理员依据验收/出厂资料配置</w:t>
            </w:r>
          </w:p>
        </w:tc>
      </w:tr>
      <w:tr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δth 失效阈值</w:t>
            </w:r>
          </w:p>
        </w:tc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几何、位置、部件</w:t>
            </w:r>
          </w:p>
        </w:tc>
        <w:tc>
          <w:tcPr>
            <w:tcW w:type="dxa" w:w="396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超过后判定精度失效的边界</w:t>
            </w:r>
          </w:p>
        </w:tc>
        <w:tc>
          <w:tcPr>
            <w:tcW w:type="dxa" w:w="187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否，由管理员依据设计允许值配置</w:t>
            </w:r>
          </w:p>
        </w:tc>
      </w:tr>
      <w:tr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USL/LSL</w:t>
            </w:r>
          </w:p>
        </w:tc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加工精度</w:t>
            </w:r>
          </w:p>
        </w:tc>
        <w:tc>
          <w:tcPr>
            <w:tcW w:type="dxa" w:w="396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加工产品指标的公差上下限</w:t>
            </w:r>
          </w:p>
        </w:tc>
        <w:tc>
          <w:tcPr>
            <w:tcW w:type="dxa" w:w="187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否，由管理员依据产品图纸/工艺标准配置</w:t>
            </w:r>
          </w:p>
        </w:tc>
      </w:tr>
      <w:tr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Ideal/Extreme</w:t>
            </w:r>
          </w:p>
        </w:tc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整机五维评分</w:t>
            </w:r>
          </w:p>
        </w:tc>
        <w:tc>
          <w:tcPr>
            <w:tcW w:type="dxa" w:w="396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评价量转百分制的理想和极限边界</w:t>
            </w:r>
          </w:p>
        </w:tc>
        <w:tc>
          <w:tcPr>
            <w:tcW w:type="dxa" w:w="187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通常不改；留空使用规范值</w:t>
            </w:r>
          </w:p>
        </w:tc>
      </w:tr>
      <w:tr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指标层权重</w:t>
            </w:r>
          </w:p>
        </w:tc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整机</w:t>
            </w:r>
          </w:p>
        </w:tc>
        <w:tc>
          <w:tcPr>
            <w:tcW w:type="dxa" w:w="396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某具体精度指标在所属准则层中的重要度</w:t>
            </w:r>
          </w:p>
        </w:tc>
        <w:tc>
          <w:tcPr>
            <w:tcW w:type="dxa" w:w="187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管理员可按机型和任务调整</w:t>
            </w:r>
          </w:p>
        </w:tc>
      </w:tr>
      <w:tr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准则层权重</w:t>
            </w:r>
          </w:p>
        </w:tc>
        <w:tc>
          <w:tcPr>
            <w:tcW w:type="dxa" w:w="17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整机</w:t>
            </w:r>
          </w:p>
        </w:tc>
        <w:tc>
          <w:tcPr>
            <w:tcW w:type="dxa" w:w="396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几何、位置、加工三类对总分的重要度</w:t>
            </w:r>
          </w:p>
        </w:tc>
        <w:tc>
          <w:tcPr>
            <w:tcW w:type="dxa" w:w="1872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管理员可按项目要求调整</w:t>
            </w:r>
          </w:p>
        </w:tc>
      </w:tr>
      <w:tr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单循环小时</w:t>
            </w:r>
          </w:p>
        </w:tc>
        <w:tc>
          <w:tcPr>
            <w:tcW w:type="dxa" w:w="17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部件</w:t>
            </w:r>
          </w:p>
        </w:tc>
        <w:tc>
          <w:tcPr>
            <w:tcW w:type="dxa" w:w="396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完成一次加载循环对应的有效试验时间</w:t>
            </w:r>
          </w:p>
        </w:tc>
        <w:tc>
          <w:tcPr>
            <w:tcW w:type="dxa" w:w="1872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管理员按试验方案配置</w:t>
            </w:r>
          </w:p>
        </w:tc>
      </w:tr>
    </w:tbl>
    <w:p>
      <w:pPr>
        <w:spacing w:after="40"/>
      </w:pP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4.2 数据不足时系统为什么不给最终评价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264"/>
        <w:gridCol w:w="3264"/>
        <w:gridCol w:w="3264"/>
      </w:tblGrid>
      <w:tr>
        <w:trPr>
          <w:tblHeader w:val="true"/>
        </w:trPr>
        <w:tc>
          <w:tcPr>
            <w:tcW w:type="dxa" w:w="244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缺失情况</w:t>
            </w:r>
          </w:p>
        </w:tc>
        <w:tc>
          <w:tcPr>
            <w:tcW w:type="dxa" w:w="309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受影响步骤</w:t>
            </w:r>
          </w:p>
        </w:tc>
        <w:tc>
          <w:tcPr>
            <w:tcW w:type="dxa" w:w="381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处理方式</w:t>
            </w:r>
          </w:p>
        </w:tc>
      </w:tr>
      <w:tr>
        <w:tc>
          <w:tcPr>
            <w:tcW w:type="dxa" w:w="244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指标未绑定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无法建立指标体系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在设备台账配置指标</w:t>
            </w:r>
          </w:p>
        </w:tc>
      </w:tr>
      <w:tr>
        <w:tc>
          <w:tcPr>
            <w:tcW w:type="dxa" w:w="244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几何/位置少于2期</w:t>
            </w:r>
          </w:p>
        </w:tc>
        <w:tc>
          <w:tcPr>
            <w:tcW w:type="dxa" w:w="30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不能拟合A(t)、计算ARDR和AFD</w:t>
            </w:r>
          </w:p>
        </w:tc>
        <w:tc>
          <w:tcPr>
            <w:tcW w:type="dxa" w:w="381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继续录入周期检测；规范建议长期跟踪，至少2期是算法最低门槛</w:t>
            </w:r>
          </w:p>
        </w:tc>
      </w:tr>
      <w:tr>
        <w:tc>
          <w:tcPr>
            <w:tcW w:type="dxa" w:w="244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缺δ0或δth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ARD和失效判定无边界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设备台账配置出厂值和失效值</w:t>
            </w:r>
          </w:p>
        </w:tc>
      </w:tr>
      <w:tr>
        <w:tc>
          <w:tcPr>
            <w:tcW w:type="dxa" w:w="244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加工批次样本少于2个</w:t>
            </w:r>
          </w:p>
        </w:tc>
        <w:tc>
          <w:tcPr>
            <w:tcW w:type="dxa" w:w="30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样本标准差无意义，ACD无法计算</w:t>
            </w:r>
          </w:p>
        </w:tc>
        <w:tc>
          <w:tcPr>
            <w:tcW w:type="dxa" w:w="381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制品数据录入至少2个样本，建议5个及以上</w:t>
            </w:r>
          </w:p>
        </w:tc>
      </w:tr>
      <w:tr>
        <w:tc>
          <w:tcPr>
            <w:tcW w:type="dxa" w:w="244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缺USL/LSL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不能计算T、M、ACD、AD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在制品指标配置中填写公差上下限</w:t>
            </w:r>
          </w:p>
        </w:tc>
      </w:tr>
      <w:tr>
        <w:tc>
          <w:tcPr>
            <w:tcW w:type="dxa" w:w="244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缺指标层权重且未匹配推荐表</w:t>
            </w:r>
          </w:p>
        </w:tc>
        <w:tc>
          <w:tcPr>
            <w:tcW w:type="dxa" w:w="309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准则层无法完整汇总</w:t>
            </w:r>
          </w:p>
        </w:tc>
        <w:tc>
          <w:tcPr>
            <w:tcW w:type="dxa" w:w="381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设备台账配置权重</w:t>
            </w:r>
          </w:p>
        </w:tc>
      </w:tr>
      <w:tr>
        <w:tc>
          <w:tcPr>
            <w:tcW w:type="dxa" w:w="244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部件缺单循环小时</w:t>
            </w:r>
          </w:p>
        </w:tc>
        <w:tc>
          <w:tcPr>
            <w:tcW w:type="dxa" w:w="309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仍可用时间戳差计算保持时间，但不便于按循环讲解</w:t>
            </w:r>
          </w:p>
        </w:tc>
        <w:tc>
          <w:tcPr>
            <w:tcW w:type="dxa" w:w="381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按试验方案配置单循环小时</w:t>
            </w:r>
          </w:p>
        </w:tc>
      </w:tr>
    </w:tbl>
    <w:p>
      <w:pPr>
        <w:spacing w:after="40"/>
      </w:pPr>
    </w:p>
    <w:p>
      <w:r>
        <w:br w:type="page"/>
      </w:r>
    </w:p>
    <w:p>
      <w:pPr>
        <w:pStyle w:val="Heading1"/>
        <w:keepNext/>
        <w:spacing w:before="320" w:after="160"/>
      </w:pPr>
      <w:r>
        <w:rPr>
          <w:rFonts w:ascii="PingFang SC" w:hAnsi="PingFang SC" w:eastAsia="PingFang SC"/>
          <w:b/>
          <w:i w:val="0"/>
          <w:color w:val="2E74B5"/>
          <w:sz w:val="32"/>
        </w:rPr>
        <w:t>5. 对外讲解稿（可直接照此说明）</w:t>
      </w: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5.1 整机评估讲解稿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第一步，我们先在设备台账建立整机的评价体系。几何精度和位置精度配置出厂初始值、失效值；加工精度则通过绑定的加工制品配置公差上下限。同时配置具体指标和三类精度集的权重。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第二步，系统读取两类实测数据。几何和位置精度读取按时间连续检测的序列；加工精度读取产品批次中的多个样本值，所以加工精度不是直接拿机床测，而是通过机床加工出的产品来评价。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第三步，几何和位置精度经过最小二乘拟合，得到退化速度ARDR、保持能力ARD和波动程度AFD；加工样本得到一致性ACD和偏离度AD。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第四步，由于五类评价量单位不同，系统利用理想值和极限值统一换算成百分制。保持度和一致性越大越好，其余三项越小越好。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第五步，规范给出的主观权重与本次数据计算出的客观权重进行融合，得到动态组合权重，再计算每一个具体精度指标的综合分。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第六步，具体指标按指标层权重汇总成几何、位置、加工三个分项，再按准则层权重汇总成整机综合得分。页面同时给出分项、明细、雷达图和薄弱环节。</w:t>
      </w:r>
    </w:p>
    <w:p>
      <w:pPr>
        <w:pStyle w:val="Heading2"/>
        <w:keepNext/>
        <w:spacing w:before="240" w:after="120"/>
      </w:pPr>
      <w:r>
        <w:rPr>
          <w:rFonts w:ascii="PingFang SC" w:hAnsi="PingFang SC" w:eastAsia="PingFang SC"/>
          <w:b/>
          <w:i w:val="0"/>
          <w:color w:val="2E74B5"/>
          <w:sz w:val="26"/>
        </w:rPr>
        <w:t>5.2 部件评估讲解稿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部件评估对象包括主轴、刀架、回转台、刀库和铣头。管理员先配置每项精度的出厂标准值、失效阈值和一次循环对应的小时数。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试验过程中，每完成一次空运转或负载循环，就记录各项精度实测值。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系统首先逐项判断是否超过失效阈值。只要任一关键指标首次超限，部件整体就切换为保持时间评价。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保持时间用首次失效循环数乘以单循环小时；如果没有配置单循环小时，系统回退使用失效时间与试验开始时间的时间差。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如果在预设循环范围内所有指标都未失效，则对每项计算精度保持度，转成百分制后求平均，得到部件综合得分。</w:t>
      </w:r>
    </w:p>
    <w:p>
      <w:pPr>
        <w:pStyle w:val="ListNumber"/>
        <w:spacing w:after="80" w:line="288" w:lineRule="auto"/>
      </w:pPr>
      <w:r>
        <w:rPr>
          <w:rFonts w:ascii="PingFang SC" w:hAnsi="PingFang SC" w:eastAsia="PingFang SC"/>
          <w:b w:val="0"/>
          <w:i w:val="0"/>
          <w:color w:val="1F2937"/>
          <w:sz w:val="20"/>
        </w:rPr>
        <w:t>因此部件模块回答两种不同问题：未失效时回答‘保持得有多好’，已失效时回答‘有效精度保持了多久’。</w:t>
      </w:r>
    </w:p>
    <w:p>
      <w:pPr>
        <w:pStyle w:val="Heading1"/>
        <w:keepNext/>
        <w:spacing w:before="320" w:after="160"/>
      </w:pPr>
      <w:r>
        <w:rPr>
          <w:rFonts w:ascii="PingFang SC" w:hAnsi="PingFang SC" w:eastAsia="PingFang SC"/>
          <w:b/>
          <w:i w:val="0"/>
          <w:color w:val="2E74B5"/>
          <w:sz w:val="32"/>
        </w:rPr>
        <w:t>6. 当前实现与参考文档的对应说明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264"/>
        <w:gridCol w:w="3264"/>
        <w:gridCol w:w="3264"/>
      </w:tblGrid>
      <w:tr>
        <w:trPr>
          <w:tblHeader w:val="true"/>
        </w:trPr>
        <w:tc>
          <w:tcPr>
            <w:tcW w:type="dxa" w:w="2376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参考文档要求</w:t>
            </w:r>
          </w:p>
        </w:tc>
        <w:tc>
          <w:tcPr>
            <w:tcW w:type="dxa" w:w="180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软件实现状态</w:t>
            </w:r>
          </w:p>
        </w:tc>
        <w:tc>
          <w:tcPr>
            <w:tcW w:type="dxa" w:w="518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说明</w:t>
            </w:r>
          </w:p>
        </w:tc>
      </w:tr>
      <w:tr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三层整机评价体系</w:t>
            </w:r>
          </w:p>
        </w:tc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已实现</w:t>
            </w:r>
          </w:p>
        </w:tc>
        <w:tc>
          <w:tcPr>
            <w:tcW w:type="dxa" w:w="51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目标层、几何/位置/加工准则层、具体指标层</w:t>
            </w:r>
          </w:p>
        </w:tc>
      </w:tr>
      <w:tr>
        <w:tc>
          <w:tcPr>
            <w:tcW w:type="dxa" w:w="237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ARDR、ARD、AFD、ACD、AD</w:t>
            </w:r>
          </w:p>
        </w:tc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已实现</w:t>
            </w:r>
          </w:p>
        </w:tc>
        <w:tc>
          <w:tcPr>
            <w:tcW w:type="dxa" w:w="51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按文档公式计算；ARDR使用拟合斜率绝对值表示退化速度</w:t>
            </w:r>
          </w:p>
        </w:tc>
      </w:tr>
      <w:tr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正向/逆向模糊归一化</w:t>
            </w:r>
          </w:p>
        </w:tc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已实现</w:t>
            </w:r>
          </w:p>
        </w:tc>
        <w:tc>
          <w:tcPr>
            <w:tcW w:type="dxa" w:w="51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支持设备级覆盖Ideal/Extreme，留空用默认值</w:t>
            </w:r>
          </w:p>
        </w:tc>
      </w:tr>
      <w:tr>
        <w:tc>
          <w:tcPr>
            <w:tcW w:type="dxa" w:w="237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AHP主观权重</w:t>
            </w:r>
          </w:p>
        </w:tc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以预置结果实现</w:t>
            </w:r>
          </w:p>
        </w:tc>
        <w:tc>
          <w:tcPr>
            <w:tcW w:type="dxa" w:w="51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系统保存并使用已通过专家/规范确定的u_j，不在每次评价时重新展示判断矩阵和CR计算</w:t>
            </w:r>
          </w:p>
        </w:tc>
      </w:tr>
      <w:tr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比重客观权重与拉格朗日组合</w:t>
            </w:r>
          </w:p>
        </w:tc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已实现</w:t>
            </w:r>
          </w:p>
        </w:tc>
        <w:tc>
          <w:tcPr>
            <w:tcW w:type="dxa" w:w="51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v_j和W_j随本次得分动态变化并随指标明细输出</w:t>
            </w:r>
          </w:p>
        </w:tc>
      </w:tr>
      <w:tr>
        <w:tc>
          <w:tcPr>
            <w:tcW w:type="dxa" w:w="237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指标层、准则层逐层汇总</w:t>
            </w:r>
          </w:p>
        </w:tc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已实现</w:t>
            </w:r>
          </w:p>
        </w:tc>
        <w:tc>
          <w:tcPr>
            <w:tcW w:type="dxa" w:w="51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配置权重会先归一化再参与汇总</w:t>
            </w:r>
          </w:p>
        </w:tc>
      </w:tr>
      <w:tr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部件保持时间/保持度分支</w:t>
            </w:r>
          </w:p>
        </w:tc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已实现</w:t>
            </w:r>
          </w:p>
        </w:tc>
        <w:tc>
          <w:tcPr>
            <w:tcW w:type="dxa" w:w="51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任一指标首次失效即整体采用保持时间</w:t>
            </w:r>
          </w:p>
        </w:tc>
      </w:tr>
      <w:tr>
        <w:tc>
          <w:tcPr>
            <w:tcW w:type="dxa" w:w="2376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预设循环次数N</w:t>
            </w:r>
          </w:p>
        </w:tc>
        <w:tc>
          <w:tcPr>
            <w:tcW w:type="dxa" w:w="180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由试验记录边界体现</w:t>
            </w:r>
          </w:p>
        </w:tc>
        <w:tc>
          <w:tcPr>
            <w:tcW w:type="dxa" w:w="518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当前未设置独立N字段；不影响已有记录的分支计算，但后续可作为试验计划字段增强</w:t>
            </w:r>
          </w:p>
        </w:tc>
      </w:tr>
      <w:tr>
        <w:tc>
          <w:tcPr>
            <w:tcW w:type="dxa" w:w="2376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评价结果快照</w:t>
            </w:r>
          </w:p>
        </w:tc>
        <w:tc>
          <w:tcPr>
            <w:tcW w:type="dxa" w:w="180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当前实时计算</w:t>
            </w:r>
          </w:p>
        </w:tc>
        <w:tc>
          <w:tcPr>
            <w:tcW w:type="dxa" w:w="518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原始数据与配置持久化；评价结果按当前数据库实时重算</w:t>
            </w:r>
          </w:p>
        </w:tc>
      </w:tr>
    </w:tbl>
    <w:p>
      <w:pPr>
        <w:spacing w:after="40"/>
      </w:pPr>
    </w:p>
    <w:p>
      <w:r>
        <w:br w:type="page"/>
      </w:r>
    </w:p>
    <w:p>
      <w:pPr>
        <w:pStyle w:val="Heading1"/>
        <w:keepNext/>
        <w:spacing w:before="320" w:after="160"/>
      </w:pPr>
      <w:r>
        <w:rPr>
          <w:rFonts w:ascii="PingFang SC" w:hAnsi="PingFang SC" w:eastAsia="PingFang SC"/>
          <w:b/>
          <w:i w:val="0"/>
          <w:color w:val="2E74B5"/>
          <w:sz w:val="32"/>
        </w:rPr>
        <w:t>7. 结论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48"/>
        <w:gridCol w:w="2448"/>
        <w:gridCol w:w="2448"/>
        <w:gridCol w:w="2448"/>
      </w:tblGrid>
      <w:tr>
        <w:trPr>
          <w:tblHeader w:val="true"/>
        </w:trPr>
        <w:tc>
          <w:tcPr>
            <w:tcW w:type="dxa" w:w="1080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对象</w:t>
            </w:r>
          </w:p>
        </w:tc>
        <w:tc>
          <w:tcPr>
            <w:tcW w:type="dxa" w:w="244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输入</w:t>
            </w:r>
          </w:p>
        </w:tc>
        <w:tc>
          <w:tcPr>
            <w:tcW w:type="dxa" w:w="3528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中间输出</w:t>
            </w:r>
          </w:p>
        </w:tc>
        <w:tc>
          <w:tcPr>
            <w:tcW w:type="dxa" w:w="2304"/>
            <w:shd w:fill="17375E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/>
              <w:jc w:val="center"/>
            </w:pPr>
            <w:r>
              <w:rPr>
                <w:rFonts w:ascii="PingFang SC" w:hAnsi="PingFang SC" w:eastAsia="PingFang SC"/>
                <w:b/>
                <w:i w:val="0"/>
                <w:color w:val="FFFFFF"/>
                <w:sz w:val="17"/>
              </w:rPr>
              <w:t>最终输出</w:t>
            </w:r>
          </w:p>
        </w:tc>
      </w:tr>
      <w:tr>
        <w:tc>
          <w:tcPr>
            <w:tcW w:type="dxa" w:w="1080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整机</w:t>
            </w:r>
          </w:p>
        </w:tc>
        <w:tc>
          <w:tcPr>
            <w:tcW w:type="dxa" w:w="244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设备配置、周期检测序列、加工制品样本</w:t>
            </w:r>
          </w:p>
        </w:tc>
        <w:tc>
          <w:tcPr>
            <w:tcW w:type="dxa" w:w="3528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ARDR/ARD/AFD/ACD/AD、百分制得分、客观权重、组合权重</w:t>
            </w:r>
          </w:p>
        </w:tc>
        <w:tc>
          <w:tcPr>
            <w:tcW w:type="dxa" w:w="2304"/>
            <w:shd w:fill="FFFFFF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单指标得分、三类准则层得分、整机综合得分、薄弱环节</w:t>
            </w:r>
          </w:p>
        </w:tc>
      </w:tr>
      <w:tr>
        <w:tc>
          <w:tcPr>
            <w:tcW w:type="dxa" w:w="1080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部件</w:t>
            </w:r>
          </w:p>
        </w:tc>
        <w:tc>
          <w:tcPr>
            <w:tcW w:type="dxa" w:w="244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部件边界参数、循环检测记录</w:t>
            </w:r>
          </w:p>
        </w:tc>
        <w:tc>
          <w:tcPr>
            <w:tcW w:type="dxa" w:w="3528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首次失效判定；未失效时计算ARD，已失效时计算失效循环和保持时间</w:t>
            </w:r>
          </w:p>
        </w:tc>
        <w:tc>
          <w:tcPr>
            <w:tcW w:type="dxa" w:w="2304"/>
            <w:shd w:fill="F8FAFC"/>
            <w:tcBorders>
              <w:top w:val="single" w:sz="6" w:color="D7E0EA"/>
              <w:left w:val="single" w:sz="6" w:color="D7E0EA"/>
              <w:bottom w:val="single" w:sz="6" w:color="D7E0EA"/>
              <w:right w:val="single" w:sz="6" w:color="D7E0EA"/>
              <w:insideH w:val="single" w:sz="6" w:color="D7E0EA"/>
              <w:insideV w:val="single" w:sz="6" w:color="D7E0EA"/>
            </w:tcBorders>
            <w:tcMar>
              <w:top w:w="90" w:type="dxa"/>
              <w:start w:w="110" w:type="dxa"/>
              <w:bottom w:w="90" w:type="dxa"/>
              <w:end w:w="110" w:type="dxa"/>
            </w:tcMar>
            <w:vAlign w:val="center"/>
          </w:tcPr>
          <w:p>
            <w:pPr>
              <w:spacing w:after="0" w:line="269" w:lineRule="auto"/>
            </w:pPr>
            <w:r>
              <w:rPr>
                <w:rFonts w:ascii="PingFang SC" w:hAnsi="PingFang SC" w:eastAsia="PingFang SC"/>
                <w:b w:val="0"/>
                <w:i w:val="0"/>
                <w:color w:val="1F2937"/>
                <w:sz w:val="17"/>
              </w:rPr>
              <w:t>部件综合得分或精度保持时间、指标明细、数据完整性</w:t>
            </w:r>
          </w:p>
        </w:tc>
      </w:tr>
    </w:tbl>
    <w:p>
      <w:pPr>
        <w:spacing w:after="40"/>
      </w:pPr>
    </w:p>
    <w:sectPr w:rsidR="00FC693F" w:rsidRPr="0006063C" w:rsidSect="00034616">
      <w:headerReference w:type="default" r:id="rId9"/>
      <w:footerReference w:type="default" r:id="rId10"/>
      <w:pgSz w:w="12240" w:h="15840"/>
      <w:pgMar w:top="1123" w:right="1224" w:bottom="1037" w:left="1224" w:header="504" w:footer="504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rFonts w:ascii="PingFang SC" w:hAnsi="PingFang SC" w:eastAsia="PingFang SC"/>
        <w:b w:val="0"/>
        <w:i w:val="0"/>
        <w:color w:val="66758A"/>
        <w:sz w:val="16"/>
      </w:rPr>
      <w:t>依据《说明书》及《车削类机床精度保持性验证评价规范20260320》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rFonts w:ascii="PingFang SC" w:hAnsi="PingFang SC" w:eastAsia="PingFang SC"/>
        <w:b w:val="0"/>
        <w:i w:val="0"/>
        <w:color w:val="66758A"/>
        <w:sz w:val="17"/>
      </w:rPr>
      <w:t>数控机床精度保持性综合评价系统 | 运行逻辑说明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20" w:line="300" w:lineRule="auto"/>
    </w:pPr>
    <w:rPr>
      <w:rFonts w:ascii="PingFang SC" w:hAnsi="PingFang SC" w:eastAsia="PingFang S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PingFang SC" w:hAnsi="PingFang SC" w:eastAsia="PingFang SC"/>
      <w:sz w:val="20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  <w:rPr>
      <w:rFonts w:ascii="PingFang SC" w:hAnsi="PingFang SC" w:eastAsia="PingFang SC"/>
      <w:sz w:val="20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Relationship Id="rId12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