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Microsoft YaHei" w:hAnsi="Microsoft YaHei" w:eastAsia="Microsoft YaHei"/>
          <w:b/>
          <w:sz w:val="32"/>
        </w:rPr>
        <w:t>精度保持性软件整机评估运行逻辑说明</w:t>
      </w:r>
    </w:p>
    <w:p>
      <w:r>
        <w:t>本文档用于对外讲解精度保持性软件中的整机评估模块，重点说明数据链路、计算逻辑和展示结果。</w:t>
      </w:r>
    </w:p>
    <w:p>
      <w:pPr>
        <w:pStyle w:val="Heading1"/>
      </w:pPr>
      <w:r>
        <w:t>1. 功能定位</w:t>
      </w:r>
    </w:p>
    <w:p>
      <w:r>
        <w:t>整机评估面向整台数控机床，按照“目标层 - 准则层 - 指标层”的三层结构，对几何精度、位置精度、加工精度三大精度集进行综合评价。</w:t>
      </w:r>
    </w:p>
    <w:p>
      <w:pPr>
        <w:pStyle w:val="Heading1"/>
      </w:pPr>
      <w:r>
        <w:t>2. 数据来源</w:t>
      </w:r>
    </w:p>
    <w:p>
      <w:pPr>
        <w:pStyle w:val="ListBullet"/>
      </w:pPr>
      <w:r>
        <w:t>设备与指标绑定：参数设置/指标绑定中配置每个精度指标的出厂精度、失效精度、理想值、极端值、指标权重、准则层权重等。</w:t>
      </w:r>
    </w:p>
    <w:p>
      <w:pPr>
        <w:pStyle w:val="ListBullet"/>
      </w:pPr>
      <w:r>
        <w:t>跟踪精度记录：来自周期性检测记录，用于几何精度和位置精度分析。</w:t>
      </w:r>
    </w:p>
    <w:p>
      <w:pPr>
        <w:pStyle w:val="ListBullet"/>
      </w:pPr>
      <w:r>
        <w:t>制品抽样记录：来自产品批次样本值，用于加工精度分析。</w:t>
      </w:r>
    </w:p>
    <w:p>
      <w:pPr>
        <w:pStyle w:val="ListBullet"/>
      </w:pPr>
      <w:r>
        <w:t>系统会把同一指标按时间排序，构成退化序列。</w:t>
      </w:r>
    </w:p>
    <w:p>
      <w:pPr>
        <w:pStyle w:val="Heading1"/>
      </w:pPr>
      <w:r>
        <w:t>3. 运算逻辑</w:t>
      </w:r>
    </w:p>
    <w:p>
      <w:pPr>
        <w:pStyle w:val="ListNumber"/>
      </w:pPr>
      <w:r>
        <w:t>先按指标类别把数据分为几何精度、位置精度、加工精度。</w:t>
      </w:r>
    </w:p>
    <w:p>
      <w:pPr>
        <w:pStyle w:val="ListNumber"/>
      </w:pPr>
      <w:r>
        <w:t>几何精度和位置精度走 ARDR、ARD、AFD 三维评价支路。</w:t>
      </w:r>
    </w:p>
    <w:p>
      <w:pPr>
        <w:pStyle w:val="ListNumber"/>
      </w:pPr>
      <w:r>
        <w:t>加工精度走 ACD、AD 二维评价支路。</w:t>
      </w:r>
    </w:p>
    <w:p>
      <w:pPr>
        <w:pStyle w:val="ListNumber"/>
      </w:pPr>
      <w:r>
        <w:t>对各评价值做模糊归一化，统一得到百分制得分。</w:t>
      </w:r>
    </w:p>
    <w:p>
      <w:pPr>
        <w:pStyle w:val="ListNumber"/>
      </w:pPr>
      <w:r>
        <w:t>将主观权重与客观权重组合，得到单指标综合得分。</w:t>
      </w:r>
    </w:p>
    <w:p>
      <w:pPr>
        <w:pStyle w:val="ListNumber"/>
      </w:pPr>
      <w:r>
        <w:t>再按指标层权重汇总为准则层得分，最后按准则层权重汇总为整机综合得分。</w:t>
      </w:r>
    </w:p>
    <w:p>
      <w:pPr>
        <w:pStyle w:val="Heading2"/>
      </w:pPr>
      <w:r>
        <w:t>3.1 几何精度与位置精度</w:t>
      </w:r>
    </w:p>
    <w:p>
      <w:pPr>
        <w:pStyle w:val="ListBullet"/>
      </w:pPr>
      <w:r>
        <w:t>ARDR：通过最小二乘拟合的退化曲线斜率表征退化速率。</w:t>
      </w:r>
    </w:p>
    <w:p>
      <w:pPr>
        <w:pStyle w:val="ListBullet"/>
      </w:pPr>
      <w:r>
        <w:t>ARD：通过出厂精度、失效精度以及误差均值计算精度保持度。</w:t>
      </w:r>
    </w:p>
    <w:p>
      <w:pPr>
        <w:pStyle w:val="ListBullet"/>
      </w:pPr>
      <w:r>
        <w:t>AFD：通过实测值与拟合值的残差均方根表征波动度。</w:t>
      </w:r>
    </w:p>
    <w:p>
      <w:pPr>
        <w:pStyle w:val="Heading2"/>
      </w:pPr>
      <w:r>
        <w:t>3.2 加工精度</w:t>
      </w:r>
    </w:p>
    <w:p>
      <w:pPr>
        <w:pStyle w:val="ListBullet"/>
      </w:pPr>
      <w:r>
        <w:t>ACD：根据样本标准差和公差带宽度评价加工一致性。</w:t>
      </w:r>
    </w:p>
    <w:p>
      <w:pPr>
        <w:pStyle w:val="ListBullet"/>
      </w:pPr>
      <w:r>
        <w:t>AD：根据样本均值偏离公差中心程度评价系统偏差。</w:t>
      </w:r>
    </w:p>
    <w:p>
      <w:pPr>
        <w:pStyle w:val="Heading2"/>
      </w:pPr>
      <w:r>
        <w:t>3.3 权重逻辑</w:t>
      </w:r>
    </w:p>
    <w:p>
      <w:r>
        <w:t>软件当前实现采用“主观默认维度权重 + 数据客观权重 + 组合权重”的方式计算单指标得分，并结合绑定配置中的指标层权重、准则层权重完成逐层汇总，这与说明书主流程一致。</w:t>
      </w:r>
    </w:p>
    <w:p>
      <w:pPr>
        <w:pStyle w:val="Heading1"/>
      </w:pPr>
      <w:r>
        <w:t>4. 输出结果</w:t>
      </w:r>
    </w:p>
    <w:p>
      <w:pPr>
        <w:pStyle w:val="ListBullet"/>
      </w:pPr>
      <w:r>
        <w:t>整机综合得分。</w:t>
      </w:r>
    </w:p>
    <w:p>
      <w:pPr>
        <w:pStyle w:val="ListBullet"/>
      </w:pPr>
      <w:r>
        <w:t>几何精度、位置精度、加工精度三个准则层得分。</w:t>
      </w:r>
    </w:p>
    <w:p>
      <w:pPr>
        <w:pStyle w:val="ListBullet"/>
      </w:pPr>
      <w:r>
        <w:t>每个底层指标的原始评价量、模糊得分、组合权重和综合得分。</w:t>
      </w:r>
    </w:p>
    <w:p>
      <w:pPr>
        <w:pStyle w:val="ListBullet"/>
      </w:pPr>
      <w:r>
        <w:t>雷达图维度值、最新状态、薄弱环节列表。</w:t>
      </w:r>
    </w:p>
    <w:p>
      <w:pPr>
        <w:pStyle w:val="Heading1"/>
      </w:pPr>
      <w:r>
        <w:t>5. 当前样例验证结果</w:t>
      </w:r>
    </w:p>
    <w:p>
      <w:r>
        <w:t>当前整机样机“重型立式车床整机样机”评估结果完整，覆盖率 100%，综合得分约 87.47 分。三大准则层得分分别为：几何精度 82.11 分、位置精度 75.69 分、加工精度 96.04 分。说明该样机加工精度保持表现较强，位置精度相对是更值得关注的环节。</w:t>
      </w:r>
    </w:p>
    <w:p>
      <w:pPr>
        <w:pStyle w:val="Heading1"/>
      </w:pPr>
      <w:r>
        <w:t>6. 对外讲解建议口径</w:t>
      </w:r>
    </w:p>
    <w:p>
      <w:pPr>
        <w:pStyle w:val="ListBullet"/>
      </w:pPr>
      <w:r>
        <w:t>先说系统按整机三层指标体系建模，不是只看某一个精度值。</w:t>
      </w:r>
    </w:p>
    <w:p>
      <w:pPr>
        <w:pStyle w:val="ListBullet"/>
      </w:pPr>
      <w:r>
        <w:t>再说系统把长期退化趋势、保持能力和波动稳定性同时纳入评价。</w:t>
      </w:r>
    </w:p>
    <w:p>
      <w:pPr>
        <w:pStyle w:val="ListBullet"/>
      </w:pPr>
      <w:r>
        <w:t>最后说系统给出的结果是“总分 + 分层得分 + 薄弱环节”，方便决策。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Microsoft YaHei" w:hAnsi="Microsoft YaHei" w:eastAsia="Microsoft YaHe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Microsoft YaHei" w:hAnsi="Microsoft YaHei" w:eastAsia="Microsoft YaHe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Microsoft YaHei" w:hAnsi="Microsoft YaHei" w:eastAsia="Microsoft YaHe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Microsoft YaHei" w:hAnsi="Microsoft YaHei" w:eastAsia="Microsoft YaHe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