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20" w:after="320"/>
        <w:jc w:val="center"/>
      </w:pPr>
      <w:r>
        <w:rPr>
          <w:b/>
          <w:color w:val="17375E"/>
          <w:sz w:val="50"/>
        </w:rPr>
        <w:t>第一次汇报：现场离线故障数据标准化导入</w:t>
      </w:r>
    </w:p>
    <w:p>
      <w:pPr>
        <w:jc w:val="center"/>
      </w:pPr>
      <w:r>
        <w:rPr>
          <w:color w:val="6385AF"/>
          <w:sz w:val="26"/>
        </w:rPr>
        <w:t>从数据库梳理、Excel规范到可定位错误的导入闭环</w:t>
      </w:r>
    </w:p>
    <w:p/>
    <w:p>
      <w:pPr>
        <w:jc w:val="center"/>
      </w:pPr>
      <w:r>
        <w:rPr>
          <w:i/>
        </w:rPr>
        <w:t>内部汇报讲稿 · 2026年7月</w:t>
      </w:r>
    </w:p>
    <w:p>
      <w:r>
        <w:br w:type="page"/>
      </w:r>
    </w:p>
    <w:p>
      <w:pPr>
        <w:pStyle w:val="Heading1"/>
      </w:pPr>
      <w:r>
        <w:t>一、这次汇报要传达什么</w:t>
      </w:r>
    </w:p>
    <w:p>
      <w:r>
        <w:t>本次不是只展示一个“上传 Excel”的按钮，而是展示一套把现场手工记录可靠地转换为系统结构化数据的标准化方案。重点让听众看到：先理解数据库和业务关系，再定义表格标准，最后实现预检、报错、确认写入和过程留痕。</w:t>
      </w:r>
    </w:p>
    <w:tbl>
      <w:tblPr>
        <w:tblStyle w:val="TableGrid"/>
        <w:tblW w:type="auto" w:w="0"/>
        <w:tblLayout w:type="fixed"/>
        <w:tblLook w:firstColumn="1" w:firstRow="1" w:lastColumn="0" w:lastRow="0" w:noHBand="0" w:noVBand="1" w:val="04A0"/>
      </w:tblPr>
      <w:tblGrid>
        <w:gridCol w:w="3286"/>
        <w:gridCol w:w="3286"/>
        <w:gridCol w:w="3286"/>
      </w:tblGrid>
      <w:tr>
        <w:tc>
          <w:tcPr>
            <w:tcW w:type="dxa" w:w="3515"/>
            <w:vAlign w:val="center"/>
            <w:shd w:fill="315D88"/>
          </w:tcPr>
          <w:p>
            <w:r/>
            <w:r>
              <w:rPr>
                <w:rFonts w:ascii="Arial Unicode MS" w:hAnsi="Arial Unicode MS" w:eastAsia="Arial Unicode MS"/>
                <w:b/>
                <w:color w:val="FFFFFF"/>
                <w:sz w:val="19"/>
              </w:rPr>
              <w:t>本次公开范围</w:t>
            </w:r>
          </w:p>
        </w:tc>
        <w:tc>
          <w:tcPr>
            <w:tcW w:type="dxa" w:w="3515"/>
            <w:vAlign w:val="center"/>
            <w:shd w:fill="315D88"/>
          </w:tcPr>
          <w:p>
            <w:r/>
            <w:r>
              <w:rPr>
                <w:rFonts w:ascii="Arial Unicode MS" w:hAnsi="Arial Unicode MS" w:eastAsia="Arial Unicode MS"/>
                <w:b/>
                <w:color w:val="FFFFFF"/>
                <w:sz w:val="19"/>
              </w:rPr>
              <w:t>暂不展开范围</w:t>
            </w:r>
          </w:p>
        </w:tc>
        <w:tc>
          <w:tcPr>
            <w:tcW w:type="dxa" w:w="1984"/>
            <w:vAlign w:val="center"/>
            <w:shd w:fill="315D88"/>
          </w:tcPr>
          <w:p>
            <w:r/>
            <w:r>
              <w:rPr>
                <w:rFonts w:ascii="Arial Unicode MS" w:hAnsi="Arial Unicode MS" w:eastAsia="Arial Unicode MS"/>
                <w:b/>
                <w:color w:val="FFFFFF"/>
                <w:sz w:val="19"/>
              </w:rPr>
              <w:t>建议汇报时长</w:t>
            </w:r>
          </w:p>
        </w:tc>
      </w:tr>
      <w:tr>
        <w:tc>
          <w:tcPr>
            <w:tcW w:type="dxa" w:w="3515"/>
            <w:vAlign w:val="center"/>
            <w:shd w:fill="F4F8FC"/>
          </w:tcPr>
          <w:p>
            <w:r/>
            <w:r>
              <w:rPr>
                <w:rFonts w:ascii="Arial Unicode MS" w:hAnsi="Arial Unicode MS" w:eastAsia="Arial Unicode MS"/>
                <w:b w:val="0"/>
                <w:color w:val="24364D"/>
                <w:sz w:val="19"/>
              </w:rPr>
              <w:t>设备结构、故障字典、现场故障、故障更换件</w:t>
            </w:r>
          </w:p>
        </w:tc>
        <w:tc>
          <w:tcPr>
            <w:tcW w:type="dxa" w:w="3515"/>
            <w:vAlign w:val="center"/>
            <w:shd w:fill="F4F8FC"/>
          </w:tcPr>
          <w:p>
            <w:r/>
            <w:r>
              <w:rPr>
                <w:rFonts w:ascii="Arial Unicode MS" w:hAnsi="Arial Unicode MS" w:eastAsia="Arial Unicode MS"/>
                <w:b w:val="0"/>
                <w:color w:val="24364D"/>
                <w:sz w:val="19"/>
              </w:rPr>
              <w:t>实验部件、实验项目、整机/部件模拟实验</w:t>
            </w:r>
          </w:p>
        </w:tc>
        <w:tc>
          <w:tcPr>
            <w:tcW w:type="dxa" w:w="1984"/>
            <w:vAlign w:val="center"/>
            <w:shd w:fill="F4F8FC"/>
          </w:tcPr>
          <w:p>
            <w:r/>
            <w:r>
              <w:rPr>
                <w:rFonts w:ascii="Arial Unicode MS" w:hAnsi="Arial Unicode MS" w:eastAsia="Arial Unicode MS"/>
                <w:b w:val="0"/>
                <w:color w:val="24364D"/>
                <w:sz w:val="19"/>
              </w:rPr>
              <w:t>15～20分钟，演示5分钟</w:t>
            </w:r>
          </w:p>
        </w:tc>
      </w:tr>
    </w:tbl>
    <w:p/>
    <w:p>
      <w:pPr>
        <w:pStyle w:val="Heading1"/>
      </w:pPr>
      <w:r>
        <w:t>二、开场讲稿</w:t>
      </w:r>
    </w:p>
    <w:p>
      <w:pPr>
        <w:pStyle w:val="IntenseQuote"/>
      </w:pPr>
      <w:r>
        <w:t>现场工地不一定具备直接登录系统的网络和设备条件，因此故障往往先由人员手写或在本地表格中记录。真正困难的不是把 Excel 读进来，而是怎样保证人工整理后的数据能和系统的设备、子系统、部件以及故障字典正确对应，并且在出错时能明确告诉填写人员错在第几行、第几列。基于这个问题，我先对现有数据库和录入流程做了完整梳理，再确定本次导入规范。</w:t>
      </w:r>
    </w:p>
    <w:p>
      <w:pPr>
        <w:pStyle w:val="Heading1"/>
      </w:pPr>
      <w:r>
        <w:t>三、前期梳理：不是先写代码</w:t>
      </w:r>
    </w:p>
    <w:p>
      <w:pPr>
        <w:pStyle w:val="Heading2"/>
      </w:pPr>
      <w:r>
        <w:t>3.1 现有数据库对象清单</w:t>
      </w:r>
    </w:p>
    <w:tbl>
      <w:tblPr>
        <w:tblStyle w:val="TableGrid"/>
        <w:tblW w:type="auto" w:w="0"/>
        <w:tblLayout w:type="fixed"/>
        <w:tblLook w:firstColumn="1" w:firstRow="1" w:lastColumn="0" w:lastRow="0" w:noHBand="0" w:noVBand="1" w:val="04A0"/>
      </w:tblPr>
      <w:tblGrid>
        <w:gridCol w:w="3286"/>
        <w:gridCol w:w="3286"/>
        <w:gridCol w:w="3286"/>
      </w:tblGrid>
      <w:tr>
        <w:tc>
          <w:tcPr>
            <w:tcW w:type="dxa" w:w="1757"/>
            <w:vAlign w:val="center"/>
            <w:shd w:fill="315D88"/>
          </w:tcPr>
          <w:p>
            <w:r/>
            <w:r>
              <w:rPr>
                <w:rFonts w:ascii="Arial Unicode MS" w:hAnsi="Arial Unicode MS" w:eastAsia="Arial Unicode MS"/>
                <w:b/>
                <w:color w:val="FFFFFF"/>
                <w:sz w:val="19"/>
              </w:rPr>
              <w:t>业务对象</w:t>
            </w:r>
          </w:p>
        </w:tc>
        <w:tc>
          <w:tcPr>
            <w:tcW w:type="dxa" w:w="3458"/>
            <w:vAlign w:val="center"/>
            <w:shd w:fill="315D88"/>
          </w:tcPr>
          <w:p>
            <w:r/>
            <w:r>
              <w:rPr>
                <w:rFonts w:ascii="Arial Unicode MS" w:hAnsi="Arial Unicode MS" w:eastAsia="Arial Unicode MS"/>
                <w:b/>
                <w:color w:val="FFFFFF"/>
                <w:sz w:val="19"/>
              </w:rPr>
              <w:t>数据库用途</w:t>
            </w:r>
          </w:p>
        </w:tc>
        <w:tc>
          <w:tcPr>
            <w:tcW w:type="dxa" w:w="3798"/>
            <w:vAlign w:val="center"/>
            <w:shd w:fill="315D88"/>
          </w:tcPr>
          <w:p>
            <w:r/>
            <w:r>
              <w:rPr>
                <w:rFonts w:ascii="Arial Unicode MS" w:hAnsi="Arial Unicode MS" w:eastAsia="Arial Unicode MS"/>
                <w:b/>
                <w:color w:val="FFFFFF"/>
                <w:sz w:val="19"/>
              </w:rPr>
              <w:t>本次Excel角色</w:t>
            </w:r>
          </w:p>
        </w:tc>
      </w:tr>
      <w:tr>
        <w:tc>
          <w:tcPr>
            <w:tcW w:type="dxa" w:w="1757"/>
            <w:vAlign w:val="center"/>
            <w:shd w:fill="F4F8FC"/>
          </w:tcPr>
          <w:p>
            <w:r/>
            <w:r>
              <w:rPr>
                <w:rFonts w:ascii="Arial Unicode MS" w:hAnsi="Arial Unicode MS" w:eastAsia="Arial Unicode MS"/>
                <w:b w:val="0"/>
                <w:color w:val="24364D"/>
                <w:sz w:val="19"/>
              </w:rPr>
              <w:t>设备</w:t>
            </w:r>
          </w:p>
        </w:tc>
        <w:tc>
          <w:tcPr>
            <w:tcW w:type="dxa" w:w="3458"/>
            <w:vAlign w:val="center"/>
            <w:shd w:fill="F4F8FC"/>
          </w:tcPr>
          <w:p>
            <w:r/>
            <w:r>
              <w:rPr>
                <w:rFonts w:ascii="Arial Unicode MS" w:hAnsi="Arial Unicode MS" w:eastAsia="Arial Unicode MS"/>
                <w:b w:val="0"/>
                <w:color w:val="24364D"/>
                <w:sz w:val="19"/>
              </w:rPr>
              <w:t>保存具体机床及设备类型</w:t>
            </w:r>
          </w:p>
        </w:tc>
        <w:tc>
          <w:tcPr>
            <w:tcW w:type="dxa" w:w="3798"/>
            <w:vAlign w:val="center"/>
            <w:shd w:fill="F4F8FC"/>
          </w:tcPr>
          <w:p>
            <w:r/>
            <w:r>
              <w:rPr>
                <w:rFonts w:ascii="Arial Unicode MS" w:hAnsi="Arial Unicode MS" w:eastAsia="Arial Unicode MS"/>
                <w:b w:val="0"/>
                <w:color w:val="24364D"/>
                <w:sz w:val="19"/>
              </w:rPr>
              <w:t>主数据，可新增或引用已有代码</w:t>
            </w:r>
          </w:p>
        </w:tc>
      </w:tr>
      <w:tr>
        <w:tc>
          <w:tcPr>
            <w:tcW w:type="dxa" w:w="1757"/>
            <w:vAlign w:val="center"/>
            <w:shd w:fill="FFFFFF"/>
          </w:tcPr>
          <w:p>
            <w:r/>
            <w:r>
              <w:rPr>
                <w:rFonts w:ascii="Arial Unicode MS" w:hAnsi="Arial Unicode MS" w:eastAsia="Arial Unicode MS"/>
                <w:b w:val="0"/>
                <w:color w:val="24364D"/>
                <w:sz w:val="19"/>
              </w:rPr>
              <w:t>子系统</w:t>
            </w:r>
          </w:p>
        </w:tc>
        <w:tc>
          <w:tcPr>
            <w:tcW w:type="dxa" w:w="3458"/>
            <w:vAlign w:val="center"/>
            <w:shd w:fill="FFFFFF"/>
          </w:tcPr>
          <w:p>
            <w:r/>
            <w:r>
              <w:rPr>
                <w:rFonts w:ascii="Arial Unicode MS" w:hAnsi="Arial Unicode MS" w:eastAsia="Arial Unicode MS"/>
                <w:b w:val="0"/>
                <w:color w:val="24364D"/>
                <w:sz w:val="19"/>
              </w:rPr>
              <w:t>按设备类型维护系统字典</w:t>
            </w:r>
          </w:p>
        </w:tc>
        <w:tc>
          <w:tcPr>
            <w:tcW w:type="dxa" w:w="3798"/>
            <w:vAlign w:val="center"/>
            <w:shd w:fill="FFFFFF"/>
          </w:tcPr>
          <w:p>
            <w:r/>
            <w:r>
              <w:rPr>
                <w:rFonts w:ascii="Arial Unicode MS" w:hAnsi="Arial Unicode MS" w:eastAsia="Arial Unicode MS"/>
                <w:b w:val="0"/>
                <w:color w:val="24364D"/>
                <w:sz w:val="19"/>
              </w:rPr>
              <w:t>被部件和故障引用</w:t>
            </w:r>
          </w:p>
        </w:tc>
      </w:tr>
      <w:tr>
        <w:tc>
          <w:tcPr>
            <w:tcW w:type="dxa" w:w="1757"/>
            <w:vAlign w:val="center"/>
            <w:shd w:fill="F4F8FC"/>
          </w:tcPr>
          <w:p>
            <w:r/>
            <w:r>
              <w:rPr>
                <w:rFonts w:ascii="Arial Unicode MS" w:hAnsi="Arial Unicode MS" w:eastAsia="Arial Unicode MS"/>
                <w:b w:val="0"/>
                <w:color w:val="24364D"/>
                <w:sz w:val="19"/>
              </w:rPr>
              <w:t>部件</w:t>
            </w:r>
          </w:p>
        </w:tc>
        <w:tc>
          <w:tcPr>
            <w:tcW w:type="dxa" w:w="3458"/>
            <w:vAlign w:val="center"/>
            <w:shd w:fill="F4F8FC"/>
          </w:tcPr>
          <w:p>
            <w:r/>
            <w:r>
              <w:rPr>
                <w:rFonts w:ascii="Arial Unicode MS" w:hAnsi="Arial Unicode MS" w:eastAsia="Arial Unicode MS"/>
                <w:b w:val="0"/>
                <w:color w:val="24364D"/>
                <w:sz w:val="19"/>
              </w:rPr>
              <w:t>保存某子系统下的设备部件</w:t>
            </w:r>
          </w:p>
        </w:tc>
        <w:tc>
          <w:tcPr>
            <w:tcW w:type="dxa" w:w="3798"/>
            <w:vAlign w:val="center"/>
            <w:shd w:fill="F4F8FC"/>
          </w:tcPr>
          <w:p>
            <w:r/>
            <w:r>
              <w:rPr>
                <w:rFonts w:ascii="Arial Unicode MS" w:hAnsi="Arial Unicode MS" w:eastAsia="Arial Unicode MS"/>
                <w:b w:val="0"/>
                <w:color w:val="24364D"/>
                <w:sz w:val="19"/>
              </w:rPr>
              <w:t>必须与子系统、设备类型一致</w:t>
            </w:r>
          </w:p>
        </w:tc>
      </w:tr>
      <w:tr>
        <w:tc>
          <w:tcPr>
            <w:tcW w:type="dxa" w:w="1757"/>
            <w:vAlign w:val="center"/>
            <w:shd w:fill="FFFFFF"/>
          </w:tcPr>
          <w:p>
            <w:r/>
            <w:r>
              <w:rPr>
                <w:rFonts w:ascii="Arial Unicode MS" w:hAnsi="Arial Unicode MS" w:eastAsia="Arial Unicode MS"/>
                <w:b w:val="0"/>
                <w:color w:val="24364D"/>
                <w:sz w:val="19"/>
              </w:rPr>
              <w:t>设备结构配置</w:t>
            </w:r>
          </w:p>
        </w:tc>
        <w:tc>
          <w:tcPr>
            <w:tcW w:type="dxa" w:w="3458"/>
            <w:vAlign w:val="center"/>
            <w:shd w:fill="FFFFFF"/>
          </w:tcPr>
          <w:p>
            <w:r/>
            <w:r>
              <w:rPr>
                <w:rFonts w:ascii="Arial Unicode MS" w:hAnsi="Arial Unicode MS" w:eastAsia="Arial Unicode MS"/>
                <w:b w:val="0"/>
                <w:color w:val="24364D"/>
                <w:sz w:val="19"/>
              </w:rPr>
              <w:t>给某一台设备绑定可选子系统和部件</w:t>
            </w:r>
          </w:p>
        </w:tc>
        <w:tc>
          <w:tcPr>
            <w:tcW w:type="dxa" w:w="3798"/>
            <w:vAlign w:val="center"/>
            <w:shd w:fill="FFFFFF"/>
          </w:tcPr>
          <w:p>
            <w:r/>
            <w:r>
              <w:rPr>
                <w:rFonts w:ascii="Arial Unicode MS" w:hAnsi="Arial Unicode MS" w:eastAsia="Arial Unicode MS"/>
                <w:b w:val="0"/>
                <w:color w:val="24364D"/>
                <w:sz w:val="19"/>
              </w:rPr>
              <w:t>决定故障记录中哪些层级可填写</w:t>
            </w:r>
          </w:p>
        </w:tc>
      </w:tr>
      <w:tr>
        <w:tc>
          <w:tcPr>
            <w:tcW w:type="dxa" w:w="1757"/>
            <w:vAlign w:val="center"/>
            <w:shd w:fill="F4F8FC"/>
          </w:tcPr>
          <w:p>
            <w:r/>
            <w:r>
              <w:rPr>
                <w:rFonts w:ascii="Arial Unicode MS" w:hAnsi="Arial Unicode MS" w:eastAsia="Arial Unicode MS"/>
                <w:b w:val="0"/>
                <w:color w:val="24364D"/>
                <w:sz w:val="19"/>
              </w:rPr>
              <w:t>故障模式/原因/溯源</w:t>
            </w:r>
          </w:p>
        </w:tc>
        <w:tc>
          <w:tcPr>
            <w:tcW w:type="dxa" w:w="3458"/>
            <w:vAlign w:val="center"/>
            <w:shd w:fill="F4F8FC"/>
          </w:tcPr>
          <w:p>
            <w:r/>
            <w:r>
              <w:rPr>
                <w:rFonts w:ascii="Arial Unicode MS" w:hAnsi="Arial Unicode MS" w:eastAsia="Arial Unicode MS"/>
                <w:b w:val="0"/>
                <w:color w:val="24364D"/>
                <w:sz w:val="19"/>
              </w:rPr>
              <w:t>三套独立故障分类字典</w:t>
            </w:r>
          </w:p>
        </w:tc>
        <w:tc>
          <w:tcPr>
            <w:tcW w:type="dxa" w:w="3798"/>
            <w:vAlign w:val="center"/>
            <w:shd w:fill="F4F8FC"/>
          </w:tcPr>
          <w:p>
            <w:r/>
            <w:r>
              <w:rPr>
                <w:rFonts w:ascii="Arial Unicode MS" w:hAnsi="Arial Unicode MS" w:eastAsia="Arial Unicode MS"/>
                <w:b w:val="0"/>
                <w:color w:val="24364D"/>
                <w:sz w:val="19"/>
              </w:rPr>
              <w:t>故障记录通过代码引用</w:t>
            </w:r>
          </w:p>
        </w:tc>
      </w:tr>
      <w:tr>
        <w:tc>
          <w:tcPr>
            <w:tcW w:type="dxa" w:w="1757"/>
            <w:vAlign w:val="center"/>
            <w:shd w:fill="FFFFFF"/>
          </w:tcPr>
          <w:p>
            <w:r/>
            <w:r>
              <w:rPr>
                <w:rFonts w:ascii="Arial Unicode MS" w:hAnsi="Arial Unicode MS" w:eastAsia="Arial Unicode MS"/>
                <w:b w:val="0"/>
                <w:color w:val="24364D"/>
                <w:sz w:val="19"/>
              </w:rPr>
              <w:t>现场故障记录</w:t>
            </w:r>
          </w:p>
        </w:tc>
        <w:tc>
          <w:tcPr>
            <w:tcW w:type="dxa" w:w="3458"/>
            <w:vAlign w:val="center"/>
            <w:shd w:fill="FFFFFF"/>
          </w:tcPr>
          <w:p>
            <w:r/>
            <w:r>
              <w:rPr>
                <w:rFonts w:ascii="Arial Unicode MS" w:hAnsi="Arial Unicode MS" w:eastAsia="Arial Unicode MS"/>
                <w:b w:val="0"/>
                <w:color w:val="24364D"/>
                <w:sz w:val="19"/>
              </w:rPr>
              <w:t>保存故障时间、现象、维修、责任等</w:t>
            </w:r>
          </w:p>
        </w:tc>
        <w:tc>
          <w:tcPr>
            <w:tcW w:type="dxa" w:w="3798"/>
            <w:vAlign w:val="center"/>
            <w:shd w:fill="FFFFFF"/>
          </w:tcPr>
          <w:p>
            <w:r/>
            <w:r>
              <w:rPr>
                <w:rFonts w:ascii="Arial Unicode MS" w:hAnsi="Arial Unicode MS" w:eastAsia="Arial Unicode MS"/>
                <w:b w:val="0"/>
                <w:color w:val="24364D"/>
                <w:sz w:val="19"/>
              </w:rPr>
              <w:t>本次核心业务数据</w:t>
            </w:r>
          </w:p>
        </w:tc>
      </w:tr>
      <w:tr>
        <w:tc>
          <w:tcPr>
            <w:tcW w:type="dxa" w:w="1757"/>
            <w:vAlign w:val="center"/>
            <w:shd w:fill="F4F8FC"/>
          </w:tcPr>
          <w:p>
            <w:r/>
            <w:r>
              <w:rPr>
                <w:rFonts w:ascii="Arial Unicode MS" w:hAnsi="Arial Unicode MS" w:eastAsia="Arial Unicode MS"/>
                <w:b w:val="0"/>
                <w:color w:val="24364D"/>
                <w:sz w:val="19"/>
              </w:rPr>
              <w:t>更换件明细</w:t>
            </w:r>
          </w:p>
        </w:tc>
        <w:tc>
          <w:tcPr>
            <w:tcW w:type="dxa" w:w="3458"/>
            <w:vAlign w:val="center"/>
            <w:shd w:fill="F4F8FC"/>
          </w:tcPr>
          <w:p>
            <w:r/>
            <w:r>
              <w:rPr>
                <w:rFonts w:ascii="Arial Unicode MS" w:hAnsi="Arial Unicode MS" w:eastAsia="Arial Unicode MS"/>
                <w:b w:val="0"/>
                <w:color w:val="24364D"/>
                <w:sz w:val="19"/>
              </w:rPr>
              <w:t>作为现场故障的从属明细</w:t>
            </w:r>
          </w:p>
        </w:tc>
        <w:tc>
          <w:tcPr>
            <w:tcW w:type="dxa" w:w="3798"/>
            <w:vAlign w:val="center"/>
            <w:shd w:fill="F4F8FC"/>
          </w:tcPr>
          <w:p>
            <w:r/>
            <w:r>
              <w:rPr>
                <w:rFonts w:ascii="Arial Unicode MS" w:hAnsi="Arial Unicode MS" w:eastAsia="Arial Unicode MS"/>
                <w:b w:val="0"/>
                <w:color w:val="24364D"/>
                <w:sz w:val="19"/>
              </w:rPr>
              <w:t>通过外部记录编号关联主记录</w:t>
            </w:r>
          </w:p>
        </w:tc>
      </w:tr>
    </w:tbl>
    <w:p/>
    <w:p>
      <w:pPr>
        <w:pStyle w:val="Heading2"/>
      </w:pPr>
      <w:r>
        <w:t>3.2 关键关系梳理</w:t>
      </w:r>
    </w:p>
    <w:p>
      <w:pPr>
        <w:pStyle w:val="ListBullet"/>
      </w:pPr>
      <w:r>
        <w:t>设备类型 → 子系统 → 部件是字典层级；具体设备还需要通过设备结构配置进行二次绑定。</w:t>
      </w:r>
    </w:p>
    <w:p>
      <w:pPr>
        <w:pStyle w:val="ListBullet"/>
      </w:pPr>
      <w:r>
        <w:t>现场故障至少必须知道具体设备和故障开始时间；其余字段是否可空严格沿用数据库现状，不人为扩大必填范围。</w:t>
      </w:r>
    </w:p>
    <w:p>
      <w:pPr>
        <w:pStyle w:val="ListBullet"/>
      </w:pPr>
      <w:r>
        <w:t>故障现象虽然数据库允许为空，但对后续分析有价值，因此定义为“建议填写”：缺失时提示，但不阻断。</w:t>
      </w:r>
    </w:p>
    <w:p>
      <w:pPr>
        <w:pStyle w:val="ListBullet"/>
      </w:pPr>
      <w:r>
        <w:t>维修结束时间为空是正常业务状态，表示故障尚未关闭；系统自动保存为未关闭，而不是误报缺失。</w:t>
      </w:r>
    </w:p>
    <w:p>
      <w:pPr>
        <w:pStyle w:val="ListBullet"/>
      </w:pPr>
      <w:r>
        <w:t>更换件不是故障主表中的一段随意文本，而是多条结构化明细，必须与主故障编号一致。</w:t>
      </w:r>
    </w:p>
    <w:p>
      <w:pPr>
        <w:pStyle w:val="Heading1"/>
      </w:pPr>
      <w:r>
        <w:t>四、形成的 Excel 硬性标准</w:t>
      </w:r>
    </w:p>
    <w:tbl>
      <w:tblPr>
        <w:tblStyle w:val="TableGrid"/>
        <w:tblW w:type="auto" w:w="0"/>
        <w:tblLayout w:type="fixed"/>
        <w:tblLook w:firstColumn="1" w:firstRow="1" w:lastColumn="0" w:lastRow="0" w:noHBand="0" w:noVBand="1" w:val="04A0"/>
      </w:tblPr>
      <w:tblGrid>
        <w:gridCol w:w="3286"/>
        <w:gridCol w:w="3286"/>
        <w:gridCol w:w="3286"/>
      </w:tblGrid>
      <w:tr>
        <w:tc>
          <w:tcPr>
            <w:tcW w:type="dxa" w:w="1304"/>
            <w:vAlign w:val="center"/>
            <w:shd w:fill="315D88"/>
          </w:tcPr>
          <w:p>
            <w:r/>
            <w:r>
              <w:rPr>
                <w:rFonts w:ascii="Arial Unicode MS" w:hAnsi="Arial Unicode MS" w:eastAsia="Arial Unicode MS"/>
                <w:b/>
                <w:color w:val="FFFFFF"/>
                <w:sz w:val="19"/>
              </w:rPr>
              <w:t>规范层面</w:t>
            </w:r>
          </w:p>
        </w:tc>
        <w:tc>
          <w:tcPr>
            <w:tcW w:type="dxa" w:w="3628"/>
            <w:vAlign w:val="center"/>
            <w:shd w:fill="315D88"/>
          </w:tcPr>
          <w:p>
            <w:r/>
            <w:r>
              <w:rPr>
                <w:rFonts w:ascii="Arial Unicode MS" w:hAnsi="Arial Unicode MS" w:eastAsia="Arial Unicode MS"/>
                <w:b/>
                <w:color w:val="FFFFFF"/>
                <w:sz w:val="19"/>
              </w:rPr>
              <w:t>明确要求</w:t>
            </w:r>
          </w:p>
        </w:tc>
        <w:tc>
          <w:tcPr>
            <w:tcW w:type="dxa" w:w="4082"/>
            <w:vAlign w:val="center"/>
            <w:shd w:fill="315D88"/>
          </w:tcPr>
          <w:p>
            <w:r/>
            <w:r>
              <w:rPr>
                <w:rFonts w:ascii="Arial Unicode MS" w:hAnsi="Arial Unicode MS" w:eastAsia="Arial Unicode MS"/>
                <w:b/>
                <w:color w:val="FFFFFF"/>
                <w:sz w:val="19"/>
              </w:rPr>
              <w:t>这样设计的原因</w:t>
            </w:r>
          </w:p>
        </w:tc>
      </w:tr>
      <w:tr>
        <w:tc>
          <w:tcPr>
            <w:tcW w:type="dxa" w:w="1304"/>
            <w:vAlign w:val="center"/>
            <w:shd w:fill="F4F8FC"/>
          </w:tcPr>
          <w:p>
            <w:r/>
            <w:r>
              <w:rPr>
                <w:rFonts w:ascii="Arial Unicode MS" w:hAnsi="Arial Unicode MS" w:eastAsia="Arial Unicode MS"/>
                <w:b w:val="0"/>
                <w:color w:val="24364D"/>
                <w:sz w:val="19"/>
              </w:rPr>
              <w:t>文件</w:t>
            </w:r>
          </w:p>
        </w:tc>
        <w:tc>
          <w:tcPr>
            <w:tcW w:type="dxa" w:w="3628"/>
            <w:vAlign w:val="center"/>
            <w:shd w:fill="F4F8FC"/>
          </w:tcPr>
          <w:p>
            <w:r/>
            <w:r>
              <w:rPr>
                <w:rFonts w:ascii="Arial Unicode MS" w:hAnsi="Arial Unicode MS" w:eastAsia="Arial Unicode MS"/>
                <w:b w:val="0"/>
                <w:color w:val="24364D"/>
                <w:sz w:val="19"/>
              </w:rPr>
              <w:t>仅.xlsx，最大20MB</w:t>
            </w:r>
          </w:p>
        </w:tc>
        <w:tc>
          <w:tcPr>
            <w:tcW w:type="dxa" w:w="4082"/>
            <w:vAlign w:val="center"/>
            <w:shd w:fill="F4F8FC"/>
          </w:tcPr>
          <w:p>
            <w:r/>
            <w:r>
              <w:rPr>
                <w:rFonts w:ascii="Arial Unicode MS" w:hAnsi="Arial Unicode MS" w:eastAsia="Arial Unicode MS"/>
                <w:b w:val="0"/>
                <w:color w:val="24364D"/>
                <w:sz w:val="19"/>
              </w:rPr>
              <w:t>避免旧格式差异和超大文件拖垮服务</w:t>
            </w:r>
          </w:p>
        </w:tc>
      </w:tr>
      <w:tr>
        <w:tc>
          <w:tcPr>
            <w:tcW w:type="dxa" w:w="1304"/>
            <w:vAlign w:val="center"/>
            <w:shd w:fill="FFFFFF"/>
          </w:tcPr>
          <w:p>
            <w:r/>
            <w:r>
              <w:rPr>
                <w:rFonts w:ascii="Arial Unicode MS" w:hAnsi="Arial Unicode MS" w:eastAsia="Arial Unicode MS"/>
                <w:b w:val="0"/>
                <w:color w:val="24364D"/>
                <w:sz w:val="19"/>
              </w:rPr>
              <w:t>工作表</w:t>
            </w:r>
          </w:p>
        </w:tc>
        <w:tc>
          <w:tcPr>
            <w:tcW w:type="dxa" w:w="3628"/>
            <w:vAlign w:val="center"/>
            <w:shd w:fill="FFFFFF"/>
          </w:tcPr>
          <w:p>
            <w:r/>
            <w:r>
              <w:rPr>
                <w:rFonts w:ascii="Arial Unicode MS" w:hAnsi="Arial Unicode MS" w:eastAsia="Arial Unicode MS"/>
                <w:b w:val="0"/>
                <w:color w:val="24364D"/>
                <w:sz w:val="19"/>
              </w:rPr>
              <w:t>固定9张业务表，可删除本次不用的表</w:t>
            </w:r>
          </w:p>
        </w:tc>
        <w:tc>
          <w:tcPr>
            <w:tcW w:type="dxa" w:w="4082"/>
            <w:vAlign w:val="center"/>
            <w:shd w:fill="FFFFFF"/>
          </w:tcPr>
          <w:p>
            <w:r/>
            <w:r>
              <w:rPr>
                <w:rFonts w:ascii="Arial Unicode MS" w:hAnsi="Arial Unicode MS" w:eastAsia="Arial Unicode MS"/>
                <w:b w:val="0"/>
                <w:color w:val="24364D"/>
                <w:sz w:val="19"/>
              </w:rPr>
              <w:t>允许分批录入，同时避免表名猜测</w:t>
            </w:r>
          </w:p>
        </w:tc>
      </w:tr>
      <w:tr>
        <w:tc>
          <w:tcPr>
            <w:tcW w:type="dxa" w:w="1304"/>
            <w:vAlign w:val="center"/>
            <w:shd w:fill="F4F8FC"/>
          </w:tcPr>
          <w:p>
            <w:r/>
            <w:r>
              <w:rPr>
                <w:rFonts w:ascii="Arial Unicode MS" w:hAnsi="Arial Unicode MS" w:eastAsia="Arial Unicode MS"/>
                <w:b w:val="0"/>
                <w:color w:val="24364D"/>
                <w:sz w:val="19"/>
              </w:rPr>
              <w:t>表头</w:t>
            </w:r>
          </w:p>
        </w:tc>
        <w:tc>
          <w:tcPr>
            <w:tcW w:type="dxa" w:w="3628"/>
            <w:vAlign w:val="center"/>
            <w:shd w:fill="F4F8FC"/>
          </w:tcPr>
          <w:p>
            <w:r/>
            <w:r>
              <w:rPr>
                <w:rFonts w:ascii="Arial Unicode MS" w:hAnsi="Arial Unicode MS" w:eastAsia="Arial Unicode MS"/>
                <w:b w:val="0"/>
                <w:color w:val="24364D"/>
                <w:sz w:val="19"/>
              </w:rPr>
              <w:t>固定中文列名，不得增删改或重复</w:t>
            </w:r>
          </w:p>
        </w:tc>
        <w:tc>
          <w:tcPr>
            <w:tcW w:type="dxa" w:w="4082"/>
            <w:vAlign w:val="center"/>
            <w:shd w:fill="F4F8FC"/>
          </w:tcPr>
          <w:p>
            <w:r/>
            <w:r>
              <w:rPr>
                <w:rFonts w:ascii="Arial Unicode MS" w:hAnsi="Arial Unicode MS" w:eastAsia="Arial Unicode MS"/>
                <w:b w:val="0"/>
                <w:color w:val="24364D"/>
                <w:sz w:val="19"/>
              </w:rPr>
              <w:t>保证列与数据库字段一一对应</w:t>
            </w:r>
          </w:p>
        </w:tc>
      </w:tr>
      <w:tr>
        <w:tc>
          <w:tcPr>
            <w:tcW w:type="dxa" w:w="1304"/>
            <w:vAlign w:val="center"/>
            <w:shd w:fill="FFFFFF"/>
          </w:tcPr>
          <w:p>
            <w:r/>
            <w:r>
              <w:rPr>
                <w:rFonts w:ascii="Arial Unicode MS" w:hAnsi="Arial Unicode MS" w:eastAsia="Arial Unicode MS"/>
                <w:b w:val="0"/>
                <w:color w:val="24364D"/>
                <w:sz w:val="19"/>
              </w:rPr>
              <w:t>代码</w:t>
            </w:r>
          </w:p>
        </w:tc>
        <w:tc>
          <w:tcPr>
            <w:tcW w:type="dxa" w:w="3628"/>
            <w:vAlign w:val="center"/>
            <w:shd w:fill="FFFFFF"/>
          </w:tcPr>
          <w:p>
            <w:r/>
            <w:r>
              <w:rPr>
                <w:rFonts w:ascii="Arial Unicode MS" w:hAnsi="Arial Unicode MS" w:eastAsia="Arial Unicode MS"/>
                <w:b w:val="0"/>
                <w:color w:val="24364D"/>
                <w:sz w:val="19"/>
              </w:rPr>
              <w:t>字母、数字、点、下划线、短横线</w:t>
            </w:r>
          </w:p>
        </w:tc>
        <w:tc>
          <w:tcPr>
            <w:tcW w:type="dxa" w:w="4082"/>
            <w:vAlign w:val="center"/>
            <w:shd w:fill="FFFFFF"/>
          </w:tcPr>
          <w:p>
            <w:r/>
            <w:r>
              <w:rPr>
                <w:rFonts w:ascii="Arial Unicode MS" w:hAnsi="Arial Unicode MS" w:eastAsia="Arial Unicode MS"/>
                <w:b w:val="0"/>
                <w:color w:val="24364D"/>
                <w:sz w:val="19"/>
              </w:rPr>
              <w:t>避免空格和全角字符造成隐性重复</w:t>
            </w:r>
          </w:p>
        </w:tc>
      </w:tr>
      <w:tr>
        <w:tc>
          <w:tcPr>
            <w:tcW w:type="dxa" w:w="1304"/>
            <w:vAlign w:val="center"/>
            <w:shd w:fill="F4F8FC"/>
          </w:tcPr>
          <w:p>
            <w:r/>
            <w:r>
              <w:rPr>
                <w:rFonts w:ascii="Arial Unicode MS" w:hAnsi="Arial Unicode MS" w:eastAsia="Arial Unicode MS"/>
                <w:b w:val="0"/>
                <w:color w:val="24364D"/>
                <w:sz w:val="19"/>
              </w:rPr>
              <w:t>时间</w:t>
            </w:r>
          </w:p>
        </w:tc>
        <w:tc>
          <w:tcPr>
            <w:tcW w:type="dxa" w:w="3628"/>
            <w:vAlign w:val="center"/>
            <w:shd w:fill="F4F8FC"/>
          </w:tcPr>
          <w:p>
            <w:r/>
            <w:r>
              <w:rPr>
                <w:rFonts w:ascii="Arial Unicode MS" w:hAnsi="Arial Unicode MS" w:eastAsia="Arial Unicode MS"/>
                <w:b w:val="0"/>
                <w:color w:val="24364D"/>
                <w:sz w:val="19"/>
              </w:rPr>
              <w:t>Excel日期或yyyy-mm-dd hh:mm:ss，年份大于1900</w:t>
            </w:r>
          </w:p>
        </w:tc>
        <w:tc>
          <w:tcPr>
            <w:tcW w:type="dxa" w:w="4082"/>
            <w:vAlign w:val="center"/>
            <w:shd w:fill="F4F8FC"/>
          </w:tcPr>
          <w:p>
            <w:r/>
            <w:r>
              <w:rPr>
                <w:rFonts w:ascii="Arial Unicode MS" w:hAnsi="Arial Unicode MS" w:eastAsia="Arial Unicode MS"/>
                <w:b w:val="0"/>
                <w:color w:val="24364D"/>
                <w:sz w:val="19"/>
              </w:rPr>
              <w:t>排除1900年占位日期等历史脏数据</w:t>
            </w:r>
          </w:p>
        </w:tc>
      </w:tr>
      <w:tr>
        <w:tc>
          <w:tcPr>
            <w:tcW w:type="dxa" w:w="1304"/>
            <w:vAlign w:val="center"/>
            <w:shd w:fill="FFFFFF"/>
          </w:tcPr>
          <w:p>
            <w:r/>
            <w:r>
              <w:rPr>
                <w:rFonts w:ascii="Arial Unicode MS" w:hAnsi="Arial Unicode MS" w:eastAsia="Arial Unicode MS"/>
                <w:b w:val="0"/>
                <w:color w:val="24364D"/>
                <w:sz w:val="19"/>
              </w:rPr>
              <w:t>空值</w:t>
            </w:r>
          </w:p>
        </w:tc>
        <w:tc>
          <w:tcPr>
            <w:tcW w:type="dxa" w:w="3628"/>
            <w:vAlign w:val="center"/>
            <w:shd w:fill="FFFFFF"/>
          </w:tcPr>
          <w:p>
            <w:r/>
            <w:r>
              <w:rPr>
                <w:rFonts w:ascii="Arial Unicode MS" w:hAnsi="Arial Unicode MS" w:eastAsia="Arial Unicode MS"/>
                <w:b w:val="0"/>
                <w:color w:val="24364D"/>
                <w:sz w:val="19"/>
              </w:rPr>
              <w:t>真正没有数据就留空</w:t>
            </w:r>
          </w:p>
        </w:tc>
        <w:tc>
          <w:tcPr>
            <w:tcW w:type="dxa" w:w="4082"/>
            <w:vAlign w:val="center"/>
            <w:shd w:fill="FFFFFF"/>
          </w:tcPr>
          <w:p>
            <w:r/>
            <w:r>
              <w:rPr>
                <w:rFonts w:ascii="Arial Unicode MS" w:hAnsi="Arial Unicode MS" w:eastAsia="Arial Unicode MS"/>
                <w:b w:val="0"/>
                <w:color w:val="24364D"/>
                <w:sz w:val="19"/>
              </w:rPr>
              <w:t>NULL、N/A、-、无等占位符统一判错</w:t>
            </w:r>
          </w:p>
        </w:tc>
      </w:tr>
      <w:tr>
        <w:tc>
          <w:tcPr>
            <w:tcW w:type="dxa" w:w="1304"/>
            <w:vAlign w:val="center"/>
            <w:shd w:fill="F4F8FC"/>
          </w:tcPr>
          <w:p>
            <w:r/>
            <w:r>
              <w:rPr>
                <w:rFonts w:ascii="Arial Unicode MS" w:hAnsi="Arial Unicode MS" w:eastAsia="Arial Unicode MS"/>
                <w:b w:val="0"/>
                <w:color w:val="24364D"/>
                <w:sz w:val="19"/>
              </w:rPr>
              <w:t>布尔</w:t>
            </w:r>
          </w:p>
        </w:tc>
        <w:tc>
          <w:tcPr>
            <w:tcW w:type="dxa" w:w="3628"/>
            <w:vAlign w:val="center"/>
            <w:shd w:fill="F4F8FC"/>
          </w:tcPr>
          <w:p>
            <w:r/>
            <w:r>
              <w:rPr>
                <w:rFonts w:ascii="Arial Unicode MS" w:hAnsi="Arial Unicode MS" w:eastAsia="Arial Unicode MS"/>
                <w:b w:val="0"/>
                <w:color w:val="24364D"/>
                <w:sz w:val="19"/>
              </w:rPr>
              <w:t>只允许“是/否”</w:t>
            </w:r>
          </w:p>
        </w:tc>
        <w:tc>
          <w:tcPr>
            <w:tcW w:type="dxa" w:w="4082"/>
            <w:vAlign w:val="center"/>
            <w:shd w:fill="F4F8FC"/>
          </w:tcPr>
          <w:p>
            <w:r/>
            <w:r>
              <w:rPr>
                <w:rFonts w:ascii="Arial Unicode MS" w:hAnsi="Arial Unicode MS" w:eastAsia="Arial Unicode MS"/>
                <w:b w:val="0"/>
                <w:color w:val="24364D"/>
                <w:sz w:val="19"/>
              </w:rPr>
              <w:t>避免“有、没有、Y、1”等多种口径</w:t>
            </w:r>
          </w:p>
        </w:tc>
      </w:tr>
      <w:tr>
        <w:tc>
          <w:tcPr>
            <w:tcW w:type="dxa" w:w="1304"/>
            <w:vAlign w:val="center"/>
            <w:shd w:fill="FFFFFF"/>
          </w:tcPr>
          <w:p>
            <w:r/>
            <w:r>
              <w:rPr>
                <w:rFonts w:ascii="Arial Unicode MS" w:hAnsi="Arial Unicode MS" w:eastAsia="Arial Unicode MS"/>
                <w:b w:val="0"/>
                <w:color w:val="24364D"/>
                <w:sz w:val="19"/>
              </w:rPr>
              <w:t>公式</w:t>
            </w:r>
          </w:p>
        </w:tc>
        <w:tc>
          <w:tcPr>
            <w:tcW w:type="dxa" w:w="3628"/>
            <w:vAlign w:val="center"/>
            <w:shd w:fill="FFFFFF"/>
          </w:tcPr>
          <w:p>
            <w:r/>
            <w:r>
              <w:rPr>
                <w:rFonts w:ascii="Arial Unicode MS" w:hAnsi="Arial Unicode MS" w:eastAsia="Arial Unicode MS"/>
                <w:b w:val="0"/>
                <w:color w:val="24364D"/>
                <w:sz w:val="19"/>
              </w:rPr>
              <w:t>数据区禁止公式</w:t>
            </w:r>
          </w:p>
        </w:tc>
        <w:tc>
          <w:tcPr>
            <w:tcW w:type="dxa" w:w="4082"/>
            <w:vAlign w:val="center"/>
            <w:shd w:fill="FFFFFF"/>
          </w:tcPr>
          <w:p>
            <w:r/>
            <w:r>
              <w:rPr>
                <w:rFonts w:ascii="Arial Unicode MS" w:hAnsi="Arial Unicode MS" w:eastAsia="Arial Unicode MS"/>
                <w:b w:val="0"/>
                <w:color w:val="24364D"/>
                <w:sz w:val="19"/>
              </w:rPr>
              <w:t>导入原始确定值，避免公式失效或外部链接</w:t>
            </w:r>
          </w:p>
        </w:tc>
      </w:tr>
    </w:tbl>
    <w:p/>
    <w:p>
      <w:pPr>
        <w:pStyle w:val="Heading1"/>
      </w:pPr>
      <w:r>
        <w:t>五、字段与数据库映射是怎样落下来的</w:t>
      </w:r>
    </w:p>
    <w:p>
      <w:r>
        <w:t>系统不是按列位置硬猜，而是为每一列建立字段定义：Excel中文列名、内部字段键、必填性、数据类型、最大长度、数据库表、数据库字段和补充规则。该映射同时用于生成模板、生成说明表和执行后端校验，避免三套定义不一致。</w:t>
      </w:r>
    </w:p>
    <w:tbl>
      <w:tblPr>
        <w:tblStyle w:val="TableGrid"/>
        <w:tblW w:type="auto" w:w="0"/>
        <w:tblLayout w:type="fixed"/>
        <w:tblLook w:firstColumn="1" w:firstRow="1" w:lastColumn="0" w:lastRow="0" w:noHBand="0" w:noVBand="1" w:val="04A0"/>
      </w:tblPr>
      <w:tblGrid>
        <w:gridCol w:w="2464"/>
        <w:gridCol w:w="2464"/>
        <w:gridCol w:w="2464"/>
        <w:gridCol w:w="2464"/>
      </w:tblGrid>
      <w:tr>
        <w:tc>
          <w:tcPr>
            <w:tcW w:type="dxa" w:w="1984"/>
            <w:vAlign w:val="center"/>
            <w:shd w:fill="315D88"/>
          </w:tcPr>
          <w:p>
            <w:r/>
            <w:r>
              <w:rPr>
                <w:rFonts w:ascii="Arial Unicode MS" w:hAnsi="Arial Unicode MS" w:eastAsia="Arial Unicode MS"/>
                <w:b/>
                <w:color w:val="FFFFFF"/>
                <w:sz w:val="19"/>
              </w:rPr>
              <w:t>Excel列</w:t>
            </w:r>
          </w:p>
        </w:tc>
        <w:tc>
          <w:tcPr>
            <w:tcW w:type="dxa" w:w="2835"/>
            <w:vAlign w:val="center"/>
            <w:shd w:fill="315D88"/>
          </w:tcPr>
          <w:p>
            <w:r/>
            <w:r>
              <w:rPr>
                <w:rFonts w:ascii="Arial Unicode MS" w:hAnsi="Arial Unicode MS" w:eastAsia="Arial Unicode MS"/>
                <w:b/>
                <w:color w:val="FFFFFF"/>
                <w:sz w:val="19"/>
              </w:rPr>
              <w:t>数据库字段</w:t>
            </w:r>
          </w:p>
        </w:tc>
        <w:tc>
          <w:tcPr>
            <w:tcW w:type="dxa" w:w="1928"/>
            <w:vAlign w:val="center"/>
            <w:shd w:fill="315D88"/>
          </w:tcPr>
          <w:p>
            <w:r/>
            <w:r>
              <w:rPr>
                <w:rFonts w:ascii="Arial Unicode MS" w:hAnsi="Arial Unicode MS" w:eastAsia="Arial Unicode MS"/>
                <w:b/>
                <w:color w:val="FFFFFF"/>
                <w:sz w:val="19"/>
              </w:rPr>
              <w:t>规则</w:t>
            </w:r>
          </w:p>
        </w:tc>
        <w:tc>
          <w:tcPr>
            <w:tcW w:type="dxa" w:w="2381"/>
            <w:vAlign w:val="center"/>
            <w:shd w:fill="315D88"/>
          </w:tcPr>
          <w:p>
            <w:r/>
            <w:r>
              <w:rPr>
                <w:rFonts w:ascii="Arial Unicode MS" w:hAnsi="Arial Unicode MS" w:eastAsia="Arial Unicode MS"/>
                <w:b/>
                <w:color w:val="FFFFFF"/>
                <w:sz w:val="19"/>
              </w:rPr>
              <w:t>使用说明</w:t>
            </w:r>
          </w:p>
        </w:tc>
      </w:tr>
      <w:tr>
        <w:tc>
          <w:tcPr>
            <w:tcW w:type="dxa" w:w="1984"/>
            <w:vAlign w:val="center"/>
            <w:shd w:fill="F4F8FC"/>
          </w:tcPr>
          <w:p>
            <w:r/>
            <w:r>
              <w:rPr>
                <w:rFonts w:ascii="Arial Unicode MS" w:hAnsi="Arial Unicode MS" w:eastAsia="Arial Unicode MS"/>
                <w:b w:val="0"/>
                <w:color w:val="24364D"/>
                <w:sz w:val="19"/>
              </w:rPr>
              <w:t>设备代码</w:t>
            </w:r>
          </w:p>
        </w:tc>
        <w:tc>
          <w:tcPr>
            <w:tcW w:type="dxa" w:w="2835"/>
            <w:vAlign w:val="center"/>
            <w:shd w:fill="F4F8FC"/>
          </w:tcPr>
          <w:p>
            <w:r/>
            <w:r>
              <w:rPr>
                <w:rFonts w:ascii="Arial Unicode MS" w:hAnsi="Arial Unicode MS" w:eastAsia="Arial Unicode MS"/>
                <w:b w:val="0"/>
                <w:color w:val="24364D"/>
                <w:sz w:val="19"/>
              </w:rPr>
              <w:t>equipment.equipment_no</w:t>
            </w:r>
          </w:p>
        </w:tc>
        <w:tc>
          <w:tcPr>
            <w:tcW w:type="dxa" w:w="1928"/>
            <w:vAlign w:val="center"/>
            <w:shd w:fill="F4F8FC"/>
          </w:tcPr>
          <w:p>
            <w:r/>
            <w:r>
              <w:rPr>
                <w:rFonts w:ascii="Arial Unicode MS" w:hAnsi="Arial Unicode MS" w:eastAsia="Arial Unicode MS"/>
                <w:b w:val="0"/>
                <w:color w:val="24364D"/>
                <w:sz w:val="19"/>
              </w:rPr>
              <w:t>必填、唯一代码</w:t>
            </w:r>
          </w:p>
        </w:tc>
        <w:tc>
          <w:tcPr>
            <w:tcW w:type="dxa" w:w="2381"/>
            <w:vAlign w:val="center"/>
            <w:shd w:fill="F4F8FC"/>
          </w:tcPr>
          <w:p>
            <w:r/>
            <w:r>
              <w:rPr>
                <w:rFonts w:ascii="Arial Unicode MS" w:hAnsi="Arial Unicode MS" w:eastAsia="Arial Unicode MS"/>
                <w:b w:val="0"/>
                <w:color w:val="24364D"/>
                <w:sz w:val="19"/>
              </w:rPr>
              <w:t>可引用数据库已有设备或同文件新增设备</w:t>
            </w:r>
          </w:p>
        </w:tc>
      </w:tr>
      <w:tr>
        <w:tc>
          <w:tcPr>
            <w:tcW w:type="dxa" w:w="1984"/>
            <w:vAlign w:val="center"/>
            <w:shd w:fill="FFFFFF"/>
          </w:tcPr>
          <w:p>
            <w:r/>
            <w:r>
              <w:rPr>
                <w:rFonts w:ascii="Arial Unicode MS" w:hAnsi="Arial Unicode MS" w:eastAsia="Arial Unicode MS"/>
                <w:b w:val="0"/>
                <w:color w:val="24364D"/>
                <w:sz w:val="19"/>
              </w:rPr>
              <w:t>外部记录编号</w:t>
            </w:r>
          </w:p>
        </w:tc>
        <w:tc>
          <w:tcPr>
            <w:tcW w:type="dxa" w:w="2835"/>
            <w:vAlign w:val="center"/>
            <w:shd w:fill="FFFFFF"/>
          </w:tcPr>
          <w:p>
            <w:r/>
            <w:r>
              <w:rPr>
                <w:rFonts w:ascii="Arial Unicode MS" w:hAnsi="Arial Unicode MS" w:eastAsia="Arial Unicode MS"/>
                <w:b w:val="0"/>
                <w:color w:val="24364D"/>
                <w:sz w:val="19"/>
              </w:rPr>
              <w:t>fault_records.external_record_no</w:t>
            </w:r>
          </w:p>
        </w:tc>
        <w:tc>
          <w:tcPr>
            <w:tcW w:type="dxa" w:w="1928"/>
            <w:vAlign w:val="center"/>
            <w:shd w:fill="FFFFFF"/>
          </w:tcPr>
          <w:p>
            <w:r/>
            <w:r>
              <w:rPr>
                <w:rFonts w:ascii="Arial Unicode MS" w:hAnsi="Arial Unicode MS" w:eastAsia="Arial Unicode MS"/>
                <w:b w:val="0"/>
                <w:color w:val="24364D"/>
                <w:sz w:val="19"/>
              </w:rPr>
              <w:t>必填、唯一</w:t>
            </w:r>
          </w:p>
        </w:tc>
        <w:tc>
          <w:tcPr>
            <w:tcW w:type="dxa" w:w="2381"/>
            <w:vAlign w:val="center"/>
            <w:shd w:fill="FFFFFF"/>
          </w:tcPr>
          <w:p>
            <w:r/>
            <w:r>
              <w:rPr>
                <w:rFonts w:ascii="Arial Unicode MS" w:hAnsi="Arial Unicode MS" w:eastAsia="Arial Unicode MS"/>
                <w:b w:val="0"/>
                <w:color w:val="24364D"/>
                <w:sz w:val="19"/>
              </w:rPr>
              <w:t>现场原始编号，也是重复导入控制键</w:t>
            </w:r>
          </w:p>
        </w:tc>
      </w:tr>
      <w:tr>
        <w:tc>
          <w:tcPr>
            <w:tcW w:type="dxa" w:w="1984"/>
            <w:vAlign w:val="center"/>
            <w:shd w:fill="F4F8FC"/>
          </w:tcPr>
          <w:p>
            <w:r/>
            <w:r>
              <w:rPr>
                <w:rFonts w:ascii="Arial Unicode MS" w:hAnsi="Arial Unicode MS" w:eastAsia="Arial Unicode MS"/>
                <w:b w:val="0"/>
                <w:color w:val="24364D"/>
                <w:sz w:val="19"/>
              </w:rPr>
              <w:t>子系统代码</w:t>
            </w:r>
          </w:p>
        </w:tc>
        <w:tc>
          <w:tcPr>
            <w:tcW w:type="dxa" w:w="2835"/>
            <w:vAlign w:val="center"/>
            <w:shd w:fill="F4F8FC"/>
          </w:tcPr>
          <w:p>
            <w:r/>
            <w:r>
              <w:rPr>
                <w:rFonts w:ascii="Arial Unicode MS" w:hAnsi="Arial Unicode MS" w:eastAsia="Arial Unicode MS"/>
                <w:b w:val="0"/>
                <w:color w:val="24364D"/>
                <w:sz w:val="19"/>
              </w:rPr>
              <w:t>fault_records.sub_system_id</w:t>
            </w:r>
          </w:p>
        </w:tc>
        <w:tc>
          <w:tcPr>
            <w:tcW w:type="dxa" w:w="1928"/>
            <w:vAlign w:val="center"/>
            <w:shd w:fill="F4F8FC"/>
          </w:tcPr>
          <w:p>
            <w:r/>
            <w:r>
              <w:rPr>
                <w:rFonts w:ascii="Arial Unicode MS" w:hAnsi="Arial Unicode MS" w:eastAsia="Arial Unicode MS"/>
                <w:b w:val="0"/>
                <w:color w:val="24364D"/>
                <w:sz w:val="19"/>
              </w:rPr>
              <w:t>可空、外键</w:t>
            </w:r>
          </w:p>
        </w:tc>
        <w:tc>
          <w:tcPr>
            <w:tcW w:type="dxa" w:w="2381"/>
            <w:vAlign w:val="center"/>
            <w:shd w:fill="F4F8FC"/>
          </w:tcPr>
          <w:p>
            <w:r/>
            <w:r>
              <w:rPr>
                <w:rFonts w:ascii="Arial Unicode MS" w:hAnsi="Arial Unicode MS" w:eastAsia="Arial Unicode MS"/>
                <w:b w:val="0"/>
                <w:color w:val="24364D"/>
                <w:sz w:val="19"/>
              </w:rPr>
              <w:t>填写时必须属于该设备可选结构</w:t>
            </w:r>
          </w:p>
        </w:tc>
      </w:tr>
      <w:tr>
        <w:tc>
          <w:tcPr>
            <w:tcW w:type="dxa" w:w="1984"/>
            <w:vAlign w:val="center"/>
            <w:shd w:fill="FFFFFF"/>
          </w:tcPr>
          <w:p>
            <w:r/>
            <w:r>
              <w:rPr>
                <w:rFonts w:ascii="Arial Unicode MS" w:hAnsi="Arial Unicode MS" w:eastAsia="Arial Unicode MS"/>
                <w:b w:val="0"/>
                <w:color w:val="24364D"/>
                <w:sz w:val="19"/>
              </w:rPr>
              <w:t>部件代码</w:t>
            </w:r>
          </w:p>
        </w:tc>
        <w:tc>
          <w:tcPr>
            <w:tcW w:type="dxa" w:w="2835"/>
            <w:vAlign w:val="center"/>
            <w:shd w:fill="FFFFFF"/>
          </w:tcPr>
          <w:p>
            <w:r/>
            <w:r>
              <w:rPr>
                <w:rFonts w:ascii="Arial Unicode MS" w:hAnsi="Arial Unicode MS" w:eastAsia="Arial Unicode MS"/>
                <w:b w:val="0"/>
                <w:color w:val="24364D"/>
                <w:sz w:val="19"/>
              </w:rPr>
              <w:t>fault_records.part_id</w:t>
            </w:r>
          </w:p>
        </w:tc>
        <w:tc>
          <w:tcPr>
            <w:tcW w:type="dxa" w:w="1928"/>
            <w:vAlign w:val="center"/>
            <w:shd w:fill="FFFFFF"/>
          </w:tcPr>
          <w:p>
            <w:r/>
            <w:r>
              <w:rPr>
                <w:rFonts w:ascii="Arial Unicode MS" w:hAnsi="Arial Unicode MS" w:eastAsia="Arial Unicode MS"/>
                <w:b w:val="0"/>
                <w:color w:val="24364D"/>
                <w:sz w:val="19"/>
              </w:rPr>
              <w:t>可空、外键</w:t>
            </w:r>
          </w:p>
        </w:tc>
        <w:tc>
          <w:tcPr>
            <w:tcW w:type="dxa" w:w="2381"/>
            <w:vAlign w:val="center"/>
            <w:shd w:fill="FFFFFF"/>
          </w:tcPr>
          <w:p>
            <w:r/>
            <w:r>
              <w:rPr>
                <w:rFonts w:ascii="Arial Unicode MS" w:hAnsi="Arial Unicode MS" w:eastAsia="Arial Unicode MS"/>
                <w:b w:val="0"/>
                <w:color w:val="24364D"/>
                <w:sz w:val="19"/>
              </w:rPr>
              <w:t>填写部件时必须同时填写其子系统</w:t>
            </w:r>
          </w:p>
        </w:tc>
      </w:tr>
      <w:tr>
        <w:tc>
          <w:tcPr>
            <w:tcW w:type="dxa" w:w="1984"/>
            <w:vAlign w:val="center"/>
            <w:shd w:fill="F4F8FC"/>
          </w:tcPr>
          <w:p>
            <w:r/>
            <w:r>
              <w:rPr>
                <w:rFonts w:ascii="Arial Unicode MS" w:hAnsi="Arial Unicode MS" w:eastAsia="Arial Unicode MS"/>
                <w:b w:val="0"/>
                <w:color w:val="24364D"/>
                <w:sz w:val="19"/>
              </w:rPr>
              <w:t>维修结束时间</w:t>
            </w:r>
          </w:p>
        </w:tc>
        <w:tc>
          <w:tcPr>
            <w:tcW w:type="dxa" w:w="2835"/>
            <w:vAlign w:val="center"/>
            <w:shd w:fill="F4F8FC"/>
          </w:tcPr>
          <w:p>
            <w:r/>
            <w:r>
              <w:rPr>
                <w:rFonts w:ascii="Arial Unicode MS" w:hAnsi="Arial Unicode MS" w:eastAsia="Arial Unicode MS"/>
                <w:b w:val="0"/>
                <w:color w:val="24364D"/>
                <w:sz w:val="19"/>
              </w:rPr>
              <w:t>fault_records.repair_end</w:t>
            </w:r>
          </w:p>
        </w:tc>
        <w:tc>
          <w:tcPr>
            <w:tcW w:type="dxa" w:w="1928"/>
            <w:vAlign w:val="center"/>
            <w:shd w:fill="F4F8FC"/>
          </w:tcPr>
          <w:p>
            <w:r/>
            <w:r>
              <w:rPr>
                <w:rFonts w:ascii="Arial Unicode MS" w:hAnsi="Arial Unicode MS" w:eastAsia="Arial Unicode MS"/>
                <w:b w:val="0"/>
                <w:color w:val="24364D"/>
                <w:sz w:val="19"/>
              </w:rPr>
              <w:t>可空、日期时间</w:t>
            </w:r>
          </w:p>
        </w:tc>
        <w:tc>
          <w:tcPr>
            <w:tcW w:type="dxa" w:w="2381"/>
            <w:vAlign w:val="center"/>
            <w:shd w:fill="F4F8FC"/>
          </w:tcPr>
          <w:p>
            <w:r/>
            <w:r>
              <w:rPr>
                <w:rFonts w:ascii="Arial Unicode MS" w:hAnsi="Arial Unicode MS" w:eastAsia="Arial Unicode MS"/>
                <w:b w:val="0"/>
                <w:color w:val="24364D"/>
                <w:sz w:val="19"/>
              </w:rPr>
              <w:t>为空时状态自动为open</w:t>
            </w:r>
          </w:p>
        </w:tc>
      </w:tr>
      <w:tr>
        <w:tc>
          <w:tcPr>
            <w:tcW w:type="dxa" w:w="1984"/>
            <w:vAlign w:val="center"/>
            <w:shd w:fill="FFFFFF"/>
          </w:tcPr>
          <w:p>
            <w:r/>
            <w:r>
              <w:rPr>
                <w:rFonts w:ascii="Arial Unicode MS" w:hAnsi="Arial Unicode MS" w:eastAsia="Arial Unicode MS"/>
                <w:b w:val="0"/>
                <w:color w:val="24364D"/>
                <w:sz w:val="19"/>
              </w:rPr>
              <w:t>是否更换元器件</w:t>
            </w:r>
          </w:p>
        </w:tc>
        <w:tc>
          <w:tcPr>
            <w:tcW w:type="dxa" w:w="2835"/>
            <w:vAlign w:val="center"/>
            <w:shd w:fill="FFFFFF"/>
          </w:tcPr>
          <w:p>
            <w:r/>
            <w:r>
              <w:rPr>
                <w:rFonts w:ascii="Arial Unicode MS" w:hAnsi="Arial Unicode MS" w:eastAsia="Arial Unicode MS"/>
                <w:b w:val="0"/>
                <w:color w:val="24364D"/>
                <w:sz w:val="19"/>
              </w:rPr>
              <w:t>fault_records.is_parts_replaced</w:t>
            </w:r>
          </w:p>
        </w:tc>
        <w:tc>
          <w:tcPr>
            <w:tcW w:type="dxa" w:w="1928"/>
            <w:vAlign w:val="center"/>
            <w:shd w:fill="FFFFFF"/>
          </w:tcPr>
          <w:p>
            <w:r/>
            <w:r>
              <w:rPr>
                <w:rFonts w:ascii="Arial Unicode MS" w:hAnsi="Arial Unicode MS" w:eastAsia="Arial Unicode MS"/>
                <w:b w:val="0"/>
                <w:color w:val="24364D"/>
                <w:sz w:val="19"/>
              </w:rPr>
              <w:t>可空、是/否</w:t>
            </w:r>
          </w:p>
        </w:tc>
        <w:tc>
          <w:tcPr>
            <w:tcW w:type="dxa" w:w="2381"/>
            <w:vAlign w:val="center"/>
            <w:shd w:fill="FFFFFF"/>
          </w:tcPr>
          <w:p>
            <w:r/>
            <w:r>
              <w:rPr>
                <w:rFonts w:ascii="Arial Unicode MS" w:hAnsi="Arial Unicode MS" w:eastAsia="Arial Unicode MS"/>
                <w:b w:val="0"/>
                <w:color w:val="24364D"/>
                <w:sz w:val="19"/>
              </w:rPr>
              <w:t>填“是”时必须有更换件明细</w:t>
            </w:r>
          </w:p>
        </w:tc>
      </w:tr>
    </w:tbl>
    <w:p/>
    <w:p>
      <w:pPr>
        <w:pStyle w:val="Heading1"/>
      </w:pPr>
      <w:r>
        <w:t>六、预检不是一个结果，而是一条检查链</w:t>
      </w:r>
    </w:p>
    <w:p>
      <w:pPr>
        <w:pStyle w:val="ListNumber"/>
      </w:pPr>
      <w:r>
        <w:t>文件级：检查扩展名、大小、文件是否可读取。</w:t>
      </w:r>
    </w:p>
    <w:p>
      <w:pPr>
        <w:pStyle w:val="ListNumber"/>
      </w:pPr>
      <w:r>
        <w:t>结构级：检查工作表名、固定表头、缺列、未知列和重复列。</w:t>
      </w:r>
    </w:p>
    <w:p>
      <w:pPr>
        <w:pStyle w:val="ListNumber"/>
      </w:pPr>
      <w:r>
        <w:t>单元格级：检查必填、类型、长度、代码格式、占位符和公式。</w:t>
      </w:r>
    </w:p>
    <w:p>
      <w:pPr>
        <w:pStyle w:val="ListNumber"/>
      </w:pPr>
      <w:r>
        <w:t>唯一性：检查工作簿内部重复代码和重复外部记录编号。</w:t>
      </w:r>
    </w:p>
    <w:p>
      <w:pPr>
        <w:pStyle w:val="ListNumber"/>
      </w:pPr>
      <w:r>
        <w:t>引用级：代码必须存在于数据库或同一工作簿前置表。</w:t>
      </w:r>
    </w:p>
    <w:p>
      <w:pPr>
        <w:pStyle w:val="ListNumber"/>
      </w:pPr>
      <w:r>
        <w:t>层级级：检查设备类型、子系统、部件及具体设备绑定关系。</w:t>
      </w:r>
    </w:p>
    <w:p>
      <w:pPr>
        <w:pStyle w:val="ListNumber"/>
      </w:pPr>
      <w:r>
        <w:t>业务级：检查时间先后顺序和更换件主从一致性。</w:t>
      </w:r>
    </w:p>
    <w:p>
      <w:pPr>
        <w:pStyle w:val="ListNumber"/>
      </w:pPr>
      <w:r>
        <w:t>结果级：错误阻断提交；建议项只产生提示；结果精确到工作表、行、列、错误代码和原值。</w:t>
      </w:r>
    </w:p>
    <w:p>
      <w:pPr>
        <w:pStyle w:val="Heading1"/>
      </w:pPr>
      <w:r>
        <w:t>七、过程留痕做了什么</w:t>
      </w:r>
    </w:p>
    <w:p>
      <w:pPr>
        <w:pStyle w:val="ListBullet"/>
      </w:pPr>
      <w:r>
        <w:t>每次上传形成独立批次，记录文件名、大小、SHA-256摘要、上传人和时间。</w:t>
      </w:r>
    </w:p>
    <w:p>
      <w:pPr>
        <w:pStyle w:val="ListBullet"/>
      </w:pPr>
      <w:r>
        <w:t>保存工作表数、数据行数、错误数、提示数、写入数和跳过数。</w:t>
      </w:r>
    </w:p>
    <w:p>
      <w:pPr>
        <w:pStyle w:val="ListBullet"/>
      </w:pPr>
      <w:r>
        <w:t>保存标准化后的暂存数据与逐格问题清单，预检阶段不触碰业务表。</w:t>
      </w:r>
    </w:p>
    <w:p>
      <w:pPr>
        <w:pStyle w:val="ListBullet"/>
      </w:pPr>
      <w:r>
        <w:t>故障记录保留外部记录编号和导入批次编号，可以反查来源。</w:t>
      </w:r>
    </w:p>
    <w:p>
      <w:pPr>
        <w:pStyle w:val="ListBullet"/>
      </w:pPr>
      <w:r>
        <w:t>管理员确认后才整批写入；任意一条失败，数据库事务整体回滚。</w:t>
      </w:r>
    </w:p>
    <w:p>
      <w:pPr>
        <w:pStyle w:val="Heading1"/>
      </w:pPr>
      <w:r>
        <w:t>八、现场演示顺序</w:t>
      </w:r>
    </w:p>
    <w:p>
      <w:pPr>
        <w:pStyle w:val="ListNumber"/>
      </w:pPr>
      <w:r>
        <w:t>进入管理员菜单“Excel导入”，说明普通用户没有该入口。</w:t>
      </w:r>
    </w:p>
    <w:p>
      <w:pPr>
        <w:pStyle w:val="ListNumber"/>
      </w:pPr>
      <w:r>
        <w:t>下载第一阶段模板，快速展示9张表和填写说明。</w:t>
      </w:r>
    </w:p>
    <w:p>
      <w:pPr>
        <w:pStyle w:val="ListNumber"/>
      </w:pPr>
      <w:r>
        <w:t>打开第一阶段字段映射表，展示一列如何对应数据库字段，不需要逐列念。</w:t>
      </w:r>
    </w:p>
    <w:p>
      <w:pPr>
        <w:pStyle w:val="ListNumber"/>
      </w:pPr>
      <w:r>
        <w:t>上传正确样例，展示工作表数、行数、错误数为0以及提交按钮启用。</w:t>
      </w:r>
    </w:p>
    <w:p>
      <w:pPr>
        <w:pStyle w:val="ListNumber"/>
      </w:pPr>
      <w:r>
        <w:t>上传错误样例，展示具体工作表、Excel行号、列名、错误代码、问题说明和原始值。</w:t>
      </w:r>
    </w:p>
    <w:p>
      <w:pPr>
        <w:pStyle w:val="ListNumber"/>
      </w:pPr>
      <w:r>
        <w:t>下载错误报告，强调现场人员可以按清单修改，不需要程序员查日志。</w:t>
      </w:r>
    </w:p>
    <w:p>
      <w:pPr>
        <w:pStyle w:val="ListNumber"/>
      </w:pPr>
      <w:r>
        <w:t>展示批次历史，说明每次预检和导入都有记录。</w:t>
      </w:r>
    </w:p>
    <w:p>
      <w:pPr>
        <w:pStyle w:val="Heading1"/>
      </w:pPr>
      <w:r>
        <w:t>九、建议现场说法</w:t>
      </w:r>
    </w:p>
    <w:p>
      <w:pPr>
        <w:pStyle w:val="IntenseQuote"/>
      </w:pPr>
      <w:r>
        <w:t>这里的重点不是要求现场一次把所有可选字段都填满，而是把字段分成‘必须有、建议有、可以没有’三类。数据库允许为空的字段，模板也允许为空；但像故障现象这种对后续分析有帮助的字段，即使不阻断导入，系统仍会给出填写提示。这样既保证可用性，也不降低数据质量意识。</w:t>
      </w:r>
    </w:p>
    <w:p>
      <w:pPr>
        <w:pStyle w:val="IntenseQuote"/>
      </w:pPr>
      <w:r>
        <w:t>预检和导入是分开的。上传时只做检查和暂存，错误文件不会写入任何设备或故障数据。只有管理员看到零错误后确认，系统才用一个事务整批写入。如果中途第十条失败，前九条也会回滚，不会留下半批数据。</w:t>
      </w:r>
    </w:p>
    <w:p>
      <w:pPr>
        <w:pStyle w:val="Heading1"/>
      </w:pPr>
      <w:r>
        <w:t>十、本次成果与下一步衔接</w:t>
      </w:r>
    </w:p>
    <w:tbl>
      <w:tblPr>
        <w:tblStyle w:val="TableGrid"/>
        <w:tblW w:type="auto" w:w="0"/>
        <w:tblLayout w:type="fixed"/>
        <w:tblLook w:firstColumn="1" w:firstRow="1" w:lastColumn="0" w:lastRow="0" w:noHBand="0" w:noVBand="1" w:val="04A0"/>
      </w:tblPr>
      <w:tblGrid>
        <w:gridCol w:w="4929"/>
        <w:gridCol w:w="4929"/>
      </w:tblGrid>
      <w:tr>
        <w:tc>
          <w:tcPr>
            <w:tcW w:type="dxa" w:w="4139"/>
            <w:vAlign w:val="center"/>
            <w:shd w:fill="315D88"/>
          </w:tcPr>
          <w:p>
            <w:r/>
            <w:r>
              <w:rPr>
                <w:rFonts w:ascii="Arial Unicode MS" w:hAnsi="Arial Unicode MS" w:eastAsia="Arial Unicode MS"/>
                <w:b/>
                <w:color w:val="FFFFFF"/>
                <w:sz w:val="19"/>
              </w:rPr>
              <w:t>已完成</w:t>
            </w:r>
          </w:p>
        </w:tc>
        <w:tc>
          <w:tcPr>
            <w:tcW w:type="dxa" w:w="4876"/>
            <w:vAlign w:val="center"/>
            <w:shd w:fill="315D88"/>
          </w:tcPr>
          <w:p>
            <w:r/>
            <w:r>
              <w:rPr>
                <w:rFonts w:ascii="Arial Unicode MS" w:hAnsi="Arial Unicode MS" w:eastAsia="Arial Unicode MS"/>
                <w:b/>
                <w:color w:val="FFFFFF"/>
                <w:sz w:val="19"/>
              </w:rPr>
              <w:t>可出示证据</w:t>
            </w:r>
          </w:p>
        </w:tc>
      </w:tr>
      <w:tr>
        <w:tc>
          <w:tcPr>
            <w:tcW w:type="dxa" w:w="4139"/>
            <w:vAlign w:val="center"/>
            <w:shd w:fill="F4F8FC"/>
          </w:tcPr>
          <w:p>
            <w:r/>
            <w:r>
              <w:rPr>
                <w:rFonts w:ascii="Arial Unicode MS" w:hAnsi="Arial Unicode MS" w:eastAsia="Arial Unicode MS"/>
                <w:b w:val="0"/>
                <w:color w:val="24364D"/>
                <w:sz w:val="19"/>
              </w:rPr>
              <w:t>现场离线数据导入闭环</w:t>
            </w:r>
          </w:p>
        </w:tc>
        <w:tc>
          <w:tcPr>
            <w:tcW w:type="dxa" w:w="4876"/>
            <w:vAlign w:val="center"/>
            <w:shd w:fill="F4F8FC"/>
          </w:tcPr>
          <w:p>
            <w:r/>
            <w:r>
              <w:rPr>
                <w:rFonts w:ascii="Arial Unicode MS" w:hAnsi="Arial Unicode MS" w:eastAsia="Arial Unicode MS"/>
                <w:b w:val="0"/>
                <w:color w:val="24364D"/>
                <w:sz w:val="19"/>
              </w:rPr>
              <w:t>页面、第一阶段模板、正确/错误样例</w:t>
            </w:r>
          </w:p>
        </w:tc>
      </w:tr>
      <w:tr>
        <w:tc>
          <w:tcPr>
            <w:tcW w:type="dxa" w:w="4139"/>
            <w:vAlign w:val="center"/>
            <w:shd w:fill="FFFFFF"/>
          </w:tcPr>
          <w:p>
            <w:r/>
            <w:r>
              <w:rPr>
                <w:rFonts w:ascii="Arial Unicode MS" w:hAnsi="Arial Unicode MS" w:eastAsia="Arial Unicode MS"/>
                <w:b w:val="0"/>
                <w:color w:val="24364D"/>
                <w:sz w:val="19"/>
              </w:rPr>
              <w:t>数据库与Excel字段梳理</w:t>
            </w:r>
          </w:p>
        </w:tc>
        <w:tc>
          <w:tcPr>
            <w:tcW w:type="dxa" w:w="4876"/>
            <w:vAlign w:val="center"/>
            <w:shd w:fill="FFFFFF"/>
          </w:tcPr>
          <w:p>
            <w:r/>
            <w:r>
              <w:rPr>
                <w:rFonts w:ascii="Arial Unicode MS" w:hAnsi="Arial Unicode MS" w:eastAsia="Arial Unicode MS"/>
                <w:b w:val="0"/>
                <w:color w:val="24364D"/>
                <w:sz w:val="19"/>
              </w:rPr>
              <w:t>第一阶段字段与数据库映射表</w:t>
            </w:r>
          </w:p>
        </w:tc>
      </w:tr>
      <w:tr>
        <w:tc>
          <w:tcPr>
            <w:tcW w:type="dxa" w:w="4139"/>
            <w:vAlign w:val="center"/>
            <w:shd w:fill="F4F8FC"/>
          </w:tcPr>
          <w:p>
            <w:r/>
            <w:r>
              <w:rPr>
                <w:rFonts w:ascii="Arial Unicode MS" w:hAnsi="Arial Unicode MS" w:eastAsia="Arial Unicode MS"/>
                <w:b w:val="0"/>
                <w:color w:val="24364D"/>
                <w:sz w:val="19"/>
              </w:rPr>
              <w:t>硬性数据规范</w:t>
            </w:r>
          </w:p>
        </w:tc>
        <w:tc>
          <w:tcPr>
            <w:tcW w:type="dxa" w:w="4876"/>
            <w:vAlign w:val="center"/>
            <w:shd w:fill="F4F8FC"/>
          </w:tcPr>
          <w:p>
            <w:r/>
            <w:r>
              <w:rPr>
                <w:rFonts w:ascii="Arial Unicode MS" w:hAnsi="Arial Unicode MS" w:eastAsia="Arial Unicode MS"/>
                <w:b w:val="0"/>
                <w:color w:val="24364D"/>
                <w:sz w:val="19"/>
              </w:rPr>
              <w:t>填写说明、错误代码表、规范文档</w:t>
            </w:r>
          </w:p>
        </w:tc>
      </w:tr>
      <w:tr>
        <w:tc>
          <w:tcPr>
            <w:tcW w:type="dxa" w:w="4139"/>
            <w:vAlign w:val="center"/>
            <w:shd w:fill="FFFFFF"/>
          </w:tcPr>
          <w:p>
            <w:r/>
            <w:r>
              <w:rPr>
                <w:rFonts w:ascii="Arial Unicode MS" w:hAnsi="Arial Unicode MS" w:eastAsia="Arial Unicode MS"/>
                <w:b w:val="0"/>
                <w:color w:val="24364D"/>
                <w:sz w:val="19"/>
              </w:rPr>
              <w:t>自动错误定位</w:t>
            </w:r>
          </w:p>
        </w:tc>
        <w:tc>
          <w:tcPr>
            <w:tcW w:type="dxa" w:w="4876"/>
            <w:vAlign w:val="center"/>
            <w:shd w:fill="FFFFFF"/>
          </w:tcPr>
          <w:p>
            <w:r/>
            <w:r>
              <w:rPr>
                <w:rFonts w:ascii="Arial Unicode MS" w:hAnsi="Arial Unicode MS" w:eastAsia="Arial Unicode MS"/>
                <w:b w:val="0"/>
                <w:color w:val="24364D"/>
                <w:sz w:val="19"/>
              </w:rPr>
              <w:t>错误样例和下载的问题报告</w:t>
            </w:r>
          </w:p>
        </w:tc>
      </w:tr>
      <w:tr>
        <w:tc>
          <w:tcPr>
            <w:tcW w:type="dxa" w:w="4139"/>
            <w:vAlign w:val="center"/>
            <w:shd w:fill="F4F8FC"/>
          </w:tcPr>
          <w:p>
            <w:r/>
            <w:r>
              <w:rPr>
                <w:rFonts w:ascii="Arial Unicode MS" w:hAnsi="Arial Unicode MS" w:eastAsia="Arial Unicode MS"/>
                <w:b w:val="0"/>
                <w:color w:val="24364D"/>
                <w:sz w:val="19"/>
              </w:rPr>
              <w:t>导入过程留痕</w:t>
            </w:r>
          </w:p>
        </w:tc>
        <w:tc>
          <w:tcPr>
            <w:tcW w:type="dxa" w:w="4876"/>
            <w:vAlign w:val="center"/>
            <w:shd w:fill="F4F8FC"/>
          </w:tcPr>
          <w:p>
            <w:r/>
            <w:r>
              <w:rPr>
                <w:rFonts w:ascii="Arial Unicode MS" w:hAnsi="Arial Unicode MS" w:eastAsia="Arial Unicode MS"/>
                <w:b w:val="0"/>
                <w:color w:val="24364D"/>
                <w:sz w:val="19"/>
              </w:rPr>
              <w:t>批次历史与批次详情</w:t>
            </w:r>
          </w:p>
        </w:tc>
      </w:tr>
    </w:tbl>
    <w:p/>
    <w:p>
      <w:r>
        <w:t>结尾建议：本次先完成现场跟踪故障这一条最常用的数据链路。后续将在相同标准体系上扩展实验部件、整机模拟实验和部件模拟实验，使不同来源的数据都能进入统一分析体系。</w:t>
      </w:r>
    </w:p>
    <w:p>
      <w:pPr>
        <w:pStyle w:val="Heading1"/>
      </w:pPr>
      <w:r>
        <w:t>内部提示：第一次不要主动展开</w:t>
      </w:r>
    </w:p>
    <w:p>
      <w:pPr>
        <w:pStyle w:val="ListBullet"/>
      </w:pPr>
      <w:r>
        <w:t>不展示完整14表模板。系统默认scope为field，下载按钮只返回9表模板。</w:t>
      </w:r>
    </w:p>
    <w:p>
      <w:pPr>
        <w:pStyle w:val="ListBullet"/>
      </w:pPr>
      <w:r>
        <w:t>不主动讲整机模拟故障、部件模拟故障的字段和关联规则。</w:t>
      </w:r>
    </w:p>
    <w:p>
      <w:pPr>
        <w:pStyle w:val="ListBullet"/>
      </w:pPr>
      <w:r>
        <w:t>可以说架构已为更多数据来源预留扩展，但不说明第二阶段已经实现到什么程度。</w:t>
      </w:r>
    </w:p>
    <w:sectPr w:rsidR="00FC693F" w:rsidRPr="0006063C" w:rsidSect="00034616">
      <w:footerReference w:type="default" r:id="rId9"/>
      <w:pgSz w:w="12240" w:h="15840"/>
      <w:pgMar w:top="1020" w:right="1191" w:bottom="964" w:left="119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数控机床中试验证阶段加工可靠性综合评价系统 · Excel标准导入任务</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300" w:lineRule="auto"/>
    </w:pPr>
    <w:rPr>
      <w:rFonts w:ascii="Arial Unicode MS" w:hAnsi="Arial Unicode MS" w:eastAsia="Arial Unicode MS"/>
      <w:color w:val="24364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Unicode MS" w:hAnsi="Arial Unicode MS" w:eastAsia="Arial Unicode MS"/>
      <w:b/>
      <w:bCs/>
      <w:color w:val="17375E"/>
      <w:sz w:val="3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Unicode MS" w:hAnsi="Arial Unicode MS" w:eastAsia="Arial Unicode MS"/>
      <w:b/>
      <w:bCs/>
      <w:color w:val="315D88"/>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Unicode MS" w:hAnsi="Arial Unicode MS" w:eastAsia="Arial Unicode MS"/>
      <w:b/>
      <w:bCs/>
      <w:color w:val="4D769E"/>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Unicode MS" w:hAnsi="Arial Unicode MS" w:eastAsia="Arial Unicode MS"/>
      <w:color w:val="17375E"/>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第一次汇报_现场离线故障数据标准化导入</dc:title>
  <dc:subject>Excel标准导入功能阶段汇报</dc:subject>
  <dc:creator>项目组</dc:creator>
  <cp:keywords/>
  <dc:description>generated by python-docx</dc:description>
  <cp:lastModifiedBy/>
  <cp:revision>1</cp:revision>
  <dcterms:created xsi:type="dcterms:W3CDTF">2013-12-23T23:15:00Z</dcterms:created>
  <dcterms:modified xsi:type="dcterms:W3CDTF">2013-12-23T23:15:00Z</dcterms:modified>
  <cp:category/>
</cp:coreProperties>
</file>