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20" w:after="320"/>
        <w:jc w:val="center"/>
      </w:pPr>
      <w:r>
        <w:rPr>
          <w:b/>
          <w:color w:val="17375E"/>
          <w:sz w:val="50"/>
        </w:rPr>
        <w:t>第二次汇报：多场景可靠性数据导入与治理闭环</w:t>
      </w:r>
    </w:p>
    <w:p>
      <w:pPr>
        <w:jc w:val="center"/>
      </w:pPr>
      <w:r>
        <w:rPr>
          <w:color w:val="6385AF"/>
          <w:sz w:val="26"/>
        </w:rPr>
        <w:t>从现场故障扩展到整机模拟、部件模拟和全链路可追溯</w:t>
      </w:r>
    </w:p>
    <w:p/>
    <w:p>
      <w:pPr>
        <w:jc w:val="center"/>
      </w:pPr>
      <w:r>
        <w:rPr>
          <w:i/>
        </w:rPr>
        <w:t>内部汇报讲稿 · 2026年7月</w:t>
      </w:r>
    </w:p>
    <w:p>
      <w:r>
        <w:br w:type="page"/>
      </w:r>
    </w:p>
    <w:p>
      <w:pPr>
        <w:pStyle w:val="Heading1"/>
      </w:pPr>
      <w:r>
        <w:t>一、本次汇报定位</w:t>
      </w:r>
    </w:p>
    <w:p>
      <w:r>
        <w:t>第二次汇报建立在第一阶段的标准模板、字段映射和预检引擎之上，重点不是重复演示上传，而是说明同一套机制如何扩展到实验部件、整机模拟实验和部件模拟实验，并解决跨表引用、对象归属、重复导入和事务一致性问题。</w:t>
      </w:r>
    </w:p>
    <w:p>
      <w:pPr>
        <w:pStyle w:val="IntenseQuote"/>
      </w:pPr>
      <w:r>
        <w:t>上一次先解决了现场故障数据怎样规范进入系统。这一次我把导入范围扩展到整机模拟实验和部件模拟实验。扩展并不是简单增加两张表，因为两种实验的评价对象、可选层级和实验项目归属都不同，所以我重新梳理了实验数据模型和跨表校验规则。</w:t>
      </w:r>
    </w:p>
    <w:p>
      <w:pPr>
        <w:pStyle w:val="Heading1"/>
      </w:pPr>
      <w:r>
        <w:t>二、第二阶段新增范围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c>
          <w:tcPr>
            <w:tcW w:type="dxa" w:w="1984"/>
            <w:vAlign w:val="center"/>
            <w:shd w:fill="315D88"/>
          </w:tcPr>
          <w:p>
            <w:r/>
            <w:r>
              <w:rPr>
                <w:rFonts w:ascii="Arial Unicode MS" w:hAnsi="Arial Unicode MS" w:eastAsia="Arial Unicode MS"/>
                <w:b/>
                <w:color w:val="FFFFFF"/>
                <w:sz w:val="19"/>
              </w:rPr>
              <w:t>新增工作表</w:t>
            </w:r>
          </w:p>
        </w:tc>
        <w:tc>
          <w:tcPr>
            <w:tcW w:type="dxa" w:w="3005"/>
            <w:vAlign w:val="center"/>
            <w:shd w:fill="315D88"/>
          </w:tcPr>
          <w:p>
            <w:r/>
            <w:r>
              <w:rPr>
                <w:rFonts w:ascii="Arial Unicode MS" w:hAnsi="Arial Unicode MS" w:eastAsia="Arial Unicode MS"/>
                <w:b/>
                <w:color w:val="FFFFFF"/>
                <w:sz w:val="19"/>
              </w:rPr>
              <w:t>业务对象</w:t>
            </w:r>
          </w:p>
        </w:tc>
        <w:tc>
          <w:tcPr>
            <w:tcW w:type="dxa" w:w="4025"/>
            <w:vAlign w:val="center"/>
            <w:shd w:fill="315D88"/>
          </w:tcPr>
          <w:p>
            <w:r/>
            <w:r>
              <w:rPr>
                <w:rFonts w:ascii="Arial Unicode MS" w:hAnsi="Arial Unicode MS" w:eastAsia="Arial Unicode MS"/>
                <w:b/>
                <w:color w:val="FFFFFF"/>
                <w:sz w:val="19"/>
              </w:rPr>
              <w:t>核心约束</w:t>
            </w:r>
          </w:p>
        </w:tc>
      </w:tr>
      <w:tr>
        <w:tc>
          <w:tcPr>
            <w:tcW w:type="dxa" w:w="1984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实验部件</w:t>
            </w:r>
          </w:p>
        </w:tc>
        <w:tc>
          <w:tcPr>
            <w:tcW w:type="dxa" w:w="3005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独立于整机台账的模拟实验对象</w:t>
            </w:r>
          </w:p>
        </w:tc>
        <w:tc>
          <w:tcPr>
            <w:tcW w:type="dxa" w:w="4025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部件代码唯一，不等同于设备内部部件字典</w:t>
            </w:r>
          </w:p>
        </w:tc>
      </w:tr>
      <w:tr>
        <w:tc>
          <w:tcPr>
            <w:tcW w:type="dxa" w:w="1984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整机实验项目</w:t>
            </w:r>
          </w:p>
        </w:tc>
        <w:tc>
          <w:tcPr>
            <w:tcW w:type="dxa" w:w="3005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具体设备的模拟实验方案</w:t>
            </w:r>
          </w:p>
        </w:tc>
        <w:tc>
          <w:tcPr>
            <w:tcW w:type="dxa" w:w="4025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设备代码+实验项目名称唯一</w:t>
            </w:r>
          </w:p>
        </w:tc>
      </w:tr>
      <w:tr>
        <w:tc>
          <w:tcPr>
            <w:tcW w:type="dxa" w:w="1984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部件实验项目</w:t>
            </w:r>
          </w:p>
        </w:tc>
        <w:tc>
          <w:tcPr>
            <w:tcW w:type="dxa" w:w="3005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具体实验部件的模拟方案</w:t>
            </w:r>
          </w:p>
        </w:tc>
        <w:tc>
          <w:tcPr>
            <w:tcW w:type="dxa" w:w="4025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实验部件代码+实验项目名称唯一</w:t>
            </w:r>
          </w:p>
        </w:tc>
      </w:tr>
      <w:tr>
        <w:tc>
          <w:tcPr>
            <w:tcW w:type="dxa" w:w="1984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整机模拟故障</w:t>
            </w:r>
          </w:p>
        </w:tc>
        <w:tc>
          <w:tcPr>
            <w:tcW w:type="dxa" w:w="3005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整机实验中的故障事件</w:t>
            </w:r>
          </w:p>
        </w:tc>
        <w:tc>
          <w:tcPr>
            <w:tcW w:type="dxa" w:w="4025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可填写设备已绑定的子系统和部件</w:t>
            </w:r>
          </w:p>
        </w:tc>
      </w:tr>
      <w:tr>
        <w:tc>
          <w:tcPr>
            <w:tcW w:type="dxa" w:w="1984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部件模拟故障</w:t>
            </w:r>
          </w:p>
        </w:tc>
        <w:tc>
          <w:tcPr>
            <w:tcW w:type="dxa" w:w="3005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独立部件实验中的故障事件</w:t>
            </w:r>
          </w:p>
        </w:tc>
        <w:tc>
          <w:tcPr>
            <w:tcW w:type="dxa" w:w="4025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不填写整机子系统和部件</w:t>
            </w:r>
          </w:p>
        </w:tc>
      </w:tr>
    </w:tbl>
    <w:p/>
    <w:p>
      <w:pPr>
        <w:pStyle w:val="Heading1"/>
      </w:pPr>
      <w:r>
        <w:t>三、为什么要区分两种‘部件’</w:t>
      </w:r>
    </w:p>
    <w:p>
      <w:r>
        <w:t>设备内部部件和独立实验部件在数据库中是两个对象。前者是某设备类型、某子系统下的结构字典，用于描述整机故障发生位置；后者是可以单独进行模拟实验的试验对象，有自己的实验项目和故障记录。混用会导致部件归属错误、分析对象错误，因此模板和数据库均分开。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c>
          <w:tcPr>
            <w:tcW w:type="dxa" w:w="1984"/>
            <w:vAlign w:val="center"/>
            <w:shd w:fill="315D88"/>
          </w:tcPr>
          <w:p>
            <w:r/>
            <w:r>
              <w:rPr>
                <w:rFonts w:ascii="Arial Unicode MS" w:hAnsi="Arial Unicode MS" w:eastAsia="Arial Unicode MS"/>
                <w:b/>
                <w:color w:val="FFFFFF"/>
                <w:sz w:val="19"/>
              </w:rPr>
              <w:t>比较项</w:t>
            </w:r>
          </w:p>
        </w:tc>
        <w:tc>
          <w:tcPr>
            <w:tcW w:type="dxa" w:w="3515"/>
            <w:vAlign w:val="center"/>
            <w:shd w:fill="315D88"/>
          </w:tcPr>
          <w:p>
            <w:r/>
            <w:r>
              <w:rPr>
                <w:rFonts w:ascii="Arial Unicode MS" w:hAnsi="Arial Unicode MS" w:eastAsia="Arial Unicode MS"/>
                <w:b/>
                <w:color w:val="FFFFFF"/>
                <w:sz w:val="19"/>
              </w:rPr>
              <w:t>设备内部部件</w:t>
            </w:r>
          </w:p>
        </w:tc>
        <w:tc>
          <w:tcPr>
            <w:tcW w:type="dxa" w:w="3515"/>
            <w:vAlign w:val="center"/>
            <w:shd w:fill="315D88"/>
          </w:tcPr>
          <w:p>
            <w:r/>
            <w:r>
              <w:rPr>
                <w:rFonts w:ascii="Arial Unicode MS" w:hAnsi="Arial Unicode MS" w:eastAsia="Arial Unicode MS"/>
                <w:b/>
                <w:color w:val="FFFFFF"/>
                <w:sz w:val="19"/>
              </w:rPr>
              <w:t>独立实验部件</w:t>
            </w:r>
          </w:p>
        </w:tc>
      </w:tr>
      <w:tr>
        <w:tc>
          <w:tcPr>
            <w:tcW w:type="dxa" w:w="1984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数据库对象</w:t>
            </w:r>
          </w:p>
        </w:tc>
        <w:tc>
          <w:tcPr>
            <w:tcW w:type="dxa" w:w="3515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Part</w:t>
            </w:r>
          </w:p>
        </w:tc>
        <w:tc>
          <w:tcPr>
            <w:tcW w:type="dxa" w:w="3515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Component</w:t>
            </w:r>
          </w:p>
        </w:tc>
      </w:tr>
      <w:tr>
        <w:tc>
          <w:tcPr>
            <w:tcW w:type="dxa" w:w="1984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是否属于子系统</w:t>
            </w:r>
          </w:p>
        </w:tc>
        <w:tc>
          <w:tcPr>
            <w:tcW w:type="dxa" w:w="3515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是</w:t>
            </w:r>
          </w:p>
        </w:tc>
        <w:tc>
          <w:tcPr>
            <w:tcW w:type="dxa" w:w="3515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否</w:t>
            </w:r>
          </w:p>
        </w:tc>
      </w:tr>
      <w:tr>
        <w:tc>
          <w:tcPr>
            <w:tcW w:type="dxa" w:w="1984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用于哪类故障</w:t>
            </w:r>
          </w:p>
        </w:tc>
        <w:tc>
          <w:tcPr>
            <w:tcW w:type="dxa" w:w="3515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现场故障、整机模拟故障</w:t>
            </w:r>
          </w:p>
        </w:tc>
        <w:tc>
          <w:tcPr>
            <w:tcW w:type="dxa" w:w="3515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部件模拟故障</w:t>
            </w:r>
          </w:p>
        </w:tc>
      </w:tr>
      <w:tr>
        <w:tc>
          <w:tcPr>
            <w:tcW w:type="dxa" w:w="1984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实验项目归属</w:t>
            </w:r>
          </w:p>
        </w:tc>
        <w:tc>
          <w:tcPr>
            <w:tcW w:type="dxa" w:w="3515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随具体设备的整机项目</w:t>
            </w:r>
          </w:p>
        </w:tc>
        <w:tc>
          <w:tcPr>
            <w:tcW w:type="dxa" w:w="3515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部件自身项目</w:t>
            </w:r>
          </w:p>
        </w:tc>
      </w:tr>
      <w:tr>
        <w:tc>
          <w:tcPr>
            <w:tcW w:type="dxa" w:w="1984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典型校验</w:t>
            </w:r>
          </w:p>
        </w:tc>
        <w:tc>
          <w:tcPr>
            <w:tcW w:type="dxa" w:w="3515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设备是否绑定该部件</w:t>
            </w:r>
          </w:p>
        </w:tc>
        <w:tc>
          <w:tcPr>
            <w:tcW w:type="dxa" w:w="3515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项目是否属于该实验部件</w:t>
            </w:r>
          </w:p>
        </w:tc>
      </w:tr>
    </w:tbl>
    <w:p/>
    <w:p>
      <w:pPr>
        <w:pStyle w:val="Heading1"/>
      </w:pPr>
      <w:r>
        <w:t>四、跨表依赖如何控制</w:t>
      </w:r>
    </w:p>
    <w:p>
      <w:pPr>
        <w:pStyle w:val="ListNumber"/>
      </w:pPr>
      <w:r>
        <w:t>设备和实验部件先建立评价对象。</w:t>
      </w:r>
    </w:p>
    <w:p>
      <w:pPr>
        <w:pStyle w:val="ListNumber"/>
      </w:pPr>
      <w:r>
        <w:t>子系统、部件和三套故障字典建立可引用代码。</w:t>
      </w:r>
    </w:p>
    <w:p>
      <w:pPr>
        <w:pStyle w:val="ListNumber"/>
      </w:pPr>
      <w:r>
        <w:t>设备结构配置确认某台设备允许使用哪些子系统和部件。</w:t>
      </w:r>
    </w:p>
    <w:p>
      <w:pPr>
        <w:pStyle w:val="ListNumber"/>
      </w:pPr>
      <w:r>
        <w:t>整机/部件实验项目分别绑定到具体设备或实验部件。</w:t>
      </w:r>
    </w:p>
    <w:p>
      <w:pPr>
        <w:pStyle w:val="ListNumber"/>
      </w:pPr>
      <w:r>
        <w:t>故障记录最后导入，并同时检查对象、项目、字典和结构绑定。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c>
          <w:tcPr>
            <w:tcW w:type="dxa" w:w="2835"/>
            <w:vAlign w:val="center"/>
            <w:shd w:fill="315D88"/>
          </w:tcPr>
          <w:p>
            <w:r/>
            <w:r>
              <w:rPr>
                <w:rFonts w:ascii="Arial Unicode MS" w:hAnsi="Arial Unicode MS" w:eastAsia="Arial Unicode MS"/>
                <w:b/>
                <w:color w:val="FFFFFF"/>
                <w:sz w:val="19"/>
              </w:rPr>
              <w:t>错误场景</w:t>
            </w:r>
          </w:p>
        </w:tc>
        <w:tc>
          <w:tcPr>
            <w:tcW w:type="dxa" w:w="3742"/>
            <w:vAlign w:val="center"/>
            <w:shd w:fill="315D88"/>
          </w:tcPr>
          <w:p>
            <w:r/>
            <w:r>
              <w:rPr>
                <w:rFonts w:ascii="Arial Unicode MS" w:hAnsi="Arial Unicode MS" w:eastAsia="Arial Unicode MS"/>
                <w:b/>
                <w:color w:val="FFFFFF"/>
                <w:sz w:val="19"/>
              </w:rPr>
              <w:t>系统如何判断</w:t>
            </w:r>
          </w:p>
        </w:tc>
        <w:tc>
          <w:tcPr>
            <w:tcW w:type="dxa" w:w="2835"/>
            <w:vAlign w:val="center"/>
            <w:shd w:fill="315D88"/>
          </w:tcPr>
          <w:p>
            <w:r/>
            <w:r>
              <w:rPr>
                <w:rFonts w:ascii="Arial Unicode MS" w:hAnsi="Arial Unicode MS" w:eastAsia="Arial Unicode MS"/>
                <w:b/>
                <w:color w:val="FFFFFF"/>
                <w:sz w:val="19"/>
              </w:rPr>
              <w:t>给用户的定位</w:t>
            </w:r>
          </w:p>
        </w:tc>
      </w:tr>
      <w:tr>
        <w:tc>
          <w:tcPr>
            <w:tcW w:type="dxa" w:w="2835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整机故障填了未绑定部件</w:t>
            </w:r>
          </w:p>
        </w:tc>
        <w:tc>
          <w:tcPr>
            <w:tcW w:type="dxa" w:w="3742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设备代码+部件代码不在设备结构配置中</w:t>
            </w:r>
          </w:p>
        </w:tc>
        <w:tc>
          <w:tcPr>
            <w:tcW w:type="dxa" w:w="2835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整机模拟故障表、具体行、部件代码列</w:t>
            </w:r>
          </w:p>
        </w:tc>
      </w:tr>
      <w:tr>
        <w:tc>
          <w:tcPr>
            <w:tcW w:type="dxa" w:w="2835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实验项目属于另一台设备</w:t>
            </w:r>
          </w:p>
        </w:tc>
        <w:tc>
          <w:tcPr>
            <w:tcW w:type="dxa" w:w="3742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设备ID+项目名称组合不存在</w:t>
            </w:r>
          </w:p>
        </w:tc>
        <w:tc>
          <w:tcPr>
            <w:tcW w:type="dxa" w:w="2835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实验项目名称列</w:t>
            </w:r>
          </w:p>
        </w:tc>
      </w:tr>
      <w:tr>
        <w:tc>
          <w:tcPr>
            <w:tcW w:type="dxa" w:w="2835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部件模拟记录引用整机层级</w:t>
            </w:r>
          </w:p>
        </w:tc>
        <w:tc>
          <w:tcPr>
            <w:tcW w:type="dxa" w:w="3742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部件模拟模板本身不提供子系统/设备部件列</w:t>
            </w:r>
          </w:p>
        </w:tc>
        <w:tc>
          <w:tcPr>
            <w:tcW w:type="dxa" w:w="2835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从数据结构上避免误填</w:t>
            </w:r>
          </w:p>
        </w:tc>
      </w:tr>
      <w:tr>
        <w:tc>
          <w:tcPr>
            <w:tcW w:type="dxa" w:w="2835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代码同名但含义冲突</w:t>
            </w:r>
          </w:p>
        </w:tc>
        <w:tc>
          <w:tcPr>
            <w:tcW w:type="dxa" w:w="3742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与数据库已有代码比较关键名称和类型</w:t>
            </w:r>
          </w:p>
        </w:tc>
        <w:tc>
          <w:tcPr>
            <w:tcW w:type="dxa" w:w="2835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CONFLICT错误及原值</w:t>
            </w:r>
          </w:p>
        </w:tc>
      </w:tr>
    </w:tbl>
    <w:p/>
    <w:p>
      <w:pPr>
        <w:pStyle w:val="Heading1"/>
      </w:pPr>
      <w:r>
        <w:t>五、全链路过程留痕的深化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3286"/>
        <w:gridCol w:w="3286"/>
        <w:gridCol w:w="3286"/>
      </w:tblGrid>
      <w:tr>
        <w:tc>
          <w:tcPr>
            <w:tcW w:type="dxa" w:w="1701"/>
            <w:vAlign w:val="center"/>
            <w:shd w:fill="315D88"/>
          </w:tcPr>
          <w:p>
            <w:r/>
            <w:r>
              <w:rPr>
                <w:rFonts w:ascii="Arial Unicode MS" w:hAnsi="Arial Unicode MS" w:eastAsia="Arial Unicode MS"/>
                <w:b/>
                <w:color w:val="FFFFFF"/>
                <w:sz w:val="19"/>
              </w:rPr>
              <w:t>留痕层级</w:t>
            </w:r>
          </w:p>
        </w:tc>
        <w:tc>
          <w:tcPr>
            <w:tcW w:type="dxa" w:w="3969"/>
            <w:vAlign w:val="center"/>
            <w:shd w:fill="315D88"/>
          </w:tcPr>
          <w:p>
            <w:r/>
            <w:r>
              <w:rPr>
                <w:rFonts w:ascii="Arial Unicode MS" w:hAnsi="Arial Unicode MS" w:eastAsia="Arial Unicode MS"/>
                <w:b/>
                <w:color w:val="FFFFFF"/>
                <w:sz w:val="19"/>
              </w:rPr>
              <w:t>保存内容</w:t>
            </w:r>
          </w:p>
        </w:tc>
        <w:tc>
          <w:tcPr>
            <w:tcW w:type="dxa" w:w="3628"/>
            <w:vAlign w:val="center"/>
            <w:shd w:fill="315D88"/>
          </w:tcPr>
          <w:p>
            <w:r/>
            <w:r>
              <w:rPr>
                <w:rFonts w:ascii="Arial Unicode MS" w:hAnsi="Arial Unicode MS" w:eastAsia="Arial Unicode MS"/>
                <w:b/>
                <w:color w:val="FFFFFF"/>
                <w:sz w:val="19"/>
              </w:rPr>
              <w:t>能回答的问题</w:t>
            </w:r>
          </w:p>
        </w:tc>
      </w:tr>
      <w:tr>
        <w:tc>
          <w:tcPr>
            <w:tcW w:type="dxa" w:w="1701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文件层</w:t>
            </w:r>
          </w:p>
        </w:tc>
        <w:tc>
          <w:tcPr>
            <w:tcW w:type="dxa" w:w="3969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原文件名、大小、SHA-256摘要</w:t>
            </w:r>
          </w:p>
        </w:tc>
        <w:tc>
          <w:tcPr>
            <w:tcW w:type="dxa" w:w="3628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这是不是同一个文件？</w:t>
            </w:r>
          </w:p>
        </w:tc>
      </w:tr>
      <w:tr>
        <w:tc>
          <w:tcPr>
            <w:tcW w:type="dxa" w:w="1701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批次层</w:t>
            </w:r>
          </w:p>
        </w:tc>
        <w:tc>
          <w:tcPr>
            <w:tcW w:type="dxa" w:w="3969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上传人、时间、状态、行数、错误/提示/写入/跳过数</w:t>
            </w:r>
          </w:p>
        </w:tc>
        <w:tc>
          <w:tcPr>
            <w:tcW w:type="dxa" w:w="3628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谁在什么时候做了什么？</w:t>
            </w:r>
          </w:p>
        </w:tc>
      </w:tr>
      <w:tr>
        <w:tc>
          <w:tcPr>
            <w:tcW w:type="dxa" w:w="1701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问题层</w:t>
            </w:r>
          </w:p>
        </w:tc>
        <w:tc>
          <w:tcPr>
            <w:tcW w:type="dxa" w:w="3969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表、行、列、代码、说明、原值、严重程度</w:t>
            </w:r>
          </w:p>
        </w:tc>
        <w:tc>
          <w:tcPr>
            <w:tcW w:type="dxa" w:w="3628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为什么没通过？具体改哪里？</w:t>
            </w:r>
          </w:p>
        </w:tc>
      </w:tr>
      <w:tr>
        <w:tc>
          <w:tcPr>
            <w:tcW w:type="dxa" w:w="1701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暂存层</w:t>
            </w:r>
          </w:p>
        </w:tc>
        <w:tc>
          <w:tcPr>
            <w:tcW w:type="dxa" w:w="3969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标准化后的结构化数据</w:t>
            </w:r>
          </w:p>
        </w:tc>
        <w:tc>
          <w:tcPr>
            <w:tcW w:type="dxa" w:w="3628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系统实际准备写入什么？</w:t>
            </w:r>
          </w:p>
        </w:tc>
      </w:tr>
      <w:tr>
        <w:tc>
          <w:tcPr>
            <w:tcW w:type="dxa" w:w="1701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业务层</w:t>
            </w:r>
          </w:p>
        </w:tc>
        <w:tc>
          <w:tcPr>
            <w:tcW w:type="dxa" w:w="3969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外部记录编号、导入批次ID</w:t>
            </w:r>
          </w:p>
        </w:tc>
        <w:tc>
          <w:tcPr>
            <w:tcW w:type="dxa" w:w="3628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某条故障来源于哪个批次？</w:t>
            </w:r>
          </w:p>
        </w:tc>
      </w:tr>
    </w:tbl>
    <w:p/>
    <w:p>
      <w:pPr>
        <w:pStyle w:val="Heading1"/>
      </w:pPr>
      <w:r>
        <w:t>六、重复导入与一致性</w:t>
      </w:r>
    </w:p>
    <w:p>
      <w:pPr>
        <w:pStyle w:val="ListBullet"/>
      </w:pPr>
      <w:r>
        <w:t>文件级防重：已成功导入的相同SHA-256文件再次上传会阻断。</w:t>
      </w:r>
    </w:p>
    <w:p>
      <w:pPr>
        <w:pStyle w:val="ListBullet"/>
      </w:pPr>
      <w:r>
        <w:t>记录级防重：三类故障均要求外部记录编号唯一，换文件名也不能重复导入同一故障。</w:t>
      </w:r>
    </w:p>
    <w:p>
      <w:pPr>
        <w:pStyle w:val="ListBullet"/>
      </w:pPr>
      <w:r>
        <w:t>工作簿内部防重：同一表内重复代码、重复对象+项目组合会在预检阶段发现。</w:t>
      </w:r>
    </w:p>
    <w:p>
      <w:pPr>
        <w:pStyle w:val="ListBullet"/>
      </w:pPr>
      <w:r>
        <w:t>配置数据复用：数据库已有且内容一致的字典可跳过；同代码但含义不同则报冲突。</w:t>
      </w:r>
    </w:p>
    <w:p>
      <w:pPr>
        <w:pStyle w:val="ListBullet"/>
      </w:pPr>
      <w:r>
        <w:t>事务一致性：整批写入期间任一数据库约束失败，全部业务写入回滚并记录失败状态。</w:t>
      </w:r>
    </w:p>
    <w:p>
      <w:pPr>
        <w:pStyle w:val="Heading1"/>
      </w:pPr>
      <w:r>
        <w:t>七、完整验收设计</w:t>
      </w:r>
    </w:p>
    <w:p>
      <w:r>
        <w:t>为了证明不是只对一个示例有效，按14个录入区域分别制作了一份正确样例和一份故意带错样例，共28份；另外提供全量正确和全量错误工作簿。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4929"/>
        <w:gridCol w:w="4929"/>
      </w:tblGrid>
      <w:tr>
        <w:tc>
          <w:tcPr>
            <w:tcW w:type="dxa" w:w="4252"/>
            <w:vAlign w:val="center"/>
            <w:shd w:fill="315D88"/>
          </w:tcPr>
          <w:p>
            <w:r/>
            <w:r>
              <w:rPr>
                <w:rFonts w:ascii="Arial Unicode MS" w:hAnsi="Arial Unicode MS" w:eastAsia="Arial Unicode MS"/>
                <w:b/>
                <w:color w:val="FFFFFF"/>
                <w:sz w:val="19"/>
              </w:rPr>
              <w:t>验收项</w:t>
            </w:r>
          </w:p>
        </w:tc>
        <w:tc>
          <w:tcPr>
            <w:tcW w:type="dxa" w:w="4762"/>
            <w:vAlign w:val="center"/>
            <w:shd w:fill="315D88"/>
          </w:tcPr>
          <w:p>
            <w:r/>
            <w:r>
              <w:rPr>
                <w:rFonts w:ascii="Arial Unicode MS" w:hAnsi="Arial Unicode MS" w:eastAsia="Arial Unicode MS"/>
                <w:b/>
                <w:color w:val="FFFFFF"/>
                <w:sz w:val="19"/>
              </w:rPr>
              <w:t>结果</w:t>
            </w:r>
          </w:p>
        </w:tc>
      </w:tr>
      <w:tr>
        <w:tc>
          <w:tcPr>
            <w:tcW w:type="dxa" w:w="4252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14个分项正确样例</w:t>
            </w:r>
          </w:p>
        </w:tc>
        <w:tc>
          <w:tcPr>
            <w:tcW w:type="dxa" w:w="4762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14/14零错误</w:t>
            </w:r>
          </w:p>
        </w:tc>
      </w:tr>
      <w:tr>
        <w:tc>
          <w:tcPr>
            <w:tcW w:type="dxa" w:w="4252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14个分项错误样例</w:t>
            </w:r>
          </w:p>
        </w:tc>
        <w:tc>
          <w:tcPr>
            <w:tcW w:type="dxa" w:w="4762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14/14至少发现一个错误</w:t>
            </w:r>
          </w:p>
        </w:tc>
      </w:tr>
      <w:tr>
        <w:tc>
          <w:tcPr>
            <w:tcW w:type="dxa" w:w="4252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全量正确样例</w:t>
            </w:r>
          </w:p>
        </w:tc>
        <w:tc>
          <w:tcPr>
            <w:tcW w:type="dxa" w:w="4762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14张表、14行，事务写入14条、跳过0条</w:t>
            </w:r>
          </w:p>
        </w:tc>
      </w:tr>
      <w:tr>
        <w:tc>
          <w:tcPr>
            <w:tcW w:type="dxa" w:w="4252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全量错误样例</w:t>
            </w:r>
          </w:p>
        </w:tc>
        <w:tc>
          <w:tcPr>
            <w:tcW w:type="dxa" w:w="4762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识别39个错误、1个非阻断提示，业务写入0条</w:t>
            </w:r>
          </w:p>
        </w:tc>
      </w:tr>
      <w:tr>
        <w:tc>
          <w:tcPr>
            <w:tcW w:type="dxa" w:w="4252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数据安全</w:t>
            </w:r>
          </w:p>
        </w:tc>
        <w:tc>
          <w:tcPr>
            <w:tcW w:type="dxa" w:w="4762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验收事务整体回滚，正式业务表不保留测试数据</w:t>
            </w:r>
          </w:p>
        </w:tc>
      </w:tr>
      <w:tr>
        <w:tc>
          <w:tcPr>
            <w:tcW w:type="dxa" w:w="4252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软件检查</w:t>
            </w:r>
          </w:p>
        </w:tc>
        <w:tc>
          <w:tcPr>
            <w:tcW w:type="dxa" w:w="4762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后端Ruff/编译通过，前端测试与生产构建通过</w:t>
            </w:r>
          </w:p>
        </w:tc>
      </w:tr>
    </w:tbl>
    <w:p/>
    <w:p>
      <w:pPr>
        <w:pStyle w:val="Heading1"/>
      </w:pPr>
      <w:r>
        <w:t>八、第二次现场演示顺序</w:t>
      </w:r>
    </w:p>
    <w:p>
      <w:pPr>
        <w:pStyle w:val="ListNumber"/>
      </w:pPr>
      <w:r>
        <w:t>使用“启动-第二次Excel导入汇报.command”启动系统，自动切换到完整范围。</w:t>
      </w:r>
    </w:p>
    <w:p>
      <w:pPr>
        <w:pStyle w:val="ListNumber"/>
      </w:pPr>
      <w:r>
        <w:t>下载完整模板，展示新增的实验部件、两类实验项目和两类模拟故障表。</w:t>
      </w:r>
    </w:p>
    <w:p>
      <w:pPr>
        <w:pStyle w:val="ListNumber"/>
      </w:pPr>
      <w:r>
        <w:t>用一条整机模拟故障说明设备—项目—子系统—部件四层关联。</w:t>
      </w:r>
    </w:p>
    <w:p>
      <w:pPr>
        <w:pStyle w:val="ListNumber"/>
      </w:pPr>
      <w:r>
        <w:t>用一条部件模拟故障对比说明为什么没有整机子系统和设备部件。</w:t>
      </w:r>
    </w:p>
    <w:p>
      <w:pPr>
        <w:pStyle w:val="ListNumber"/>
      </w:pPr>
      <w:r>
        <w:t>上传全量正确样例，展示跨14表预检通过。</w:t>
      </w:r>
    </w:p>
    <w:p>
      <w:pPr>
        <w:pStyle w:val="ListNumber"/>
      </w:pPr>
      <w:r>
        <w:t>上传全量错误样例，重点展示项目归属错误、部件绑定错误和时间错误。</w:t>
      </w:r>
    </w:p>
    <w:p>
      <w:pPr>
        <w:pStyle w:val="ListNumber"/>
      </w:pPr>
      <w:r>
        <w:t>展示批次历史和某条故障的导入批次编号，完成来源追溯。</w:t>
      </w:r>
    </w:p>
    <w:p>
      <w:pPr>
        <w:pStyle w:val="Heading1"/>
      </w:pPr>
      <w:r>
        <w:t>九、建议现场说法</w:t>
      </w:r>
    </w:p>
    <w:p>
      <w:pPr>
        <w:pStyle w:val="IntenseQuote"/>
      </w:pPr>
      <w:r>
        <w:t>第二阶段没有另起一套导入逻辑，而是在第一阶段形成的字段规范和校验管道上扩展。这样模板说明、数据库映射、后端校验和验收样例仍然来自同一个规范源，新增场景不会造成标准漂移。</w:t>
      </w:r>
    </w:p>
    <w:p>
      <w:pPr>
        <w:pStyle w:val="IntenseQuote"/>
      </w:pPr>
      <w:r>
        <w:t>整机模拟故障可以定位到设备内部的子系统和部件，但前提是该设备已经配置这些结构；部件模拟实验针对的是独立试验对象，它没有整机层级。因此系统不是看到一个部件代码就接受，而是结合评价对象和实验项目判断引用是否合法。</w:t>
      </w:r>
    </w:p>
    <w:p>
      <w:pPr>
        <w:pStyle w:val="Heading1"/>
      </w:pPr>
      <w:r>
        <w:t>十、完整任务成果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4929"/>
        <w:gridCol w:w="4929"/>
      </w:tblGrid>
      <w:tr>
        <w:tc>
          <w:tcPr>
            <w:tcW w:type="dxa" w:w="2268"/>
            <w:vAlign w:val="center"/>
            <w:shd w:fill="315D88"/>
          </w:tcPr>
          <w:p>
            <w:r/>
            <w:r>
              <w:rPr>
                <w:rFonts w:ascii="Arial Unicode MS" w:hAnsi="Arial Unicode MS" w:eastAsia="Arial Unicode MS"/>
                <w:b/>
                <w:color w:val="FFFFFF"/>
                <w:sz w:val="19"/>
              </w:rPr>
              <w:t>成果类别</w:t>
            </w:r>
          </w:p>
        </w:tc>
        <w:tc>
          <w:tcPr>
            <w:tcW w:type="dxa" w:w="6746"/>
            <w:vAlign w:val="center"/>
            <w:shd w:fill="315D88"/>
          </w:tcPr>
          <w:p>
            <w:r/>
            <w:r>
              <w:rPr>
                <w:rFonts w:ascii="Arial Unicode MS" w:hAnsi="Arial Unicode MS" w:eastAsia="Arial Unicode MS"/>
                <w:b/>
                <w:color w:val="FFFFFF"/>
                <w:sz w:val="19"/>
              </w:rPr>
              <w:t>具体交付</w:t>
            </w:r>
          </w:p>
        </w:tc>
      </w:tr>
      <w:tr>
        <w:tc>
          <w:tcPr>
            <w:tcW w:type="dxa" w:w="2268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软件</w:t>
            </w:r>
          </w:p>
        </w:tc>
        <w:tc>
          <w:tcPr>
            <w:tcW w:type="dxa" w:w="6746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管理员导入页面、范围开关、预检、提交、历史批次、问题报告</w:t>
            </w:r>
          </w:p>
        </w:tc>
      </w:tr>
      <w:tr>
        <w:tc>
          <w:tcPr>
            <w:tcW w:type="dxa" w:w="2268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数据库</w:t>
            </w:r>
          </w:p>
        </w:tc>
        <w:tc>
          <w:tcPr>
            <w:tcW w:type="dxa" w:w="6746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批次表、问题表、三类故障外部编号和批次外键、迁移脚本</w:t>
            </w:r>
          </w:p>
        </w:tc>
      </w:tr>
      <w:tr>
        <w:tc>
          <w:tcPr>
            <w:tcW w:type="dxa" w:w="2268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规范</w:t>
            </w:r>
          </w:p>
        </w:tc>
        <w:tc>
          <w:tcPr>
            <w:tcW w:type="dxa" w:w="6746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14表字段规范、数据库映射、错误代码、硬性数据要求</w:t>
            </w:r>
          </w:p>
        </w:tc>
      </w:tr>
      <w:tr>
        <w:tc>
          <w:tcPr>
            <w:tcW w:type="dxa" w:w="2268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模板</w:t>
            </w:r>
          </w:p>
        </w:tc>
        <w:tc>
          <w:tcPr>
            <w:tcW w:type="dxa" w:w="6746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第一阶段9表模板、完整14表模板</w:t>
            </w:r>
          </w:p>
        </w:tc>
      </w:tr>
      <w:tr>
        <w:tc>
          <w:tcPr>
            <w:tcW w:type="dxa" w:w="2268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验收</w:t>
            </w:r>
          </w:p>
        </w:tc>
        <w:tc>
          <w:tcPr>
            <w:tcW w:type="dxa" w:w="6746"/>
            <w:vAlign w:val="center"/>
            <w:shd w:fill="F4F8FC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28份分项样例、全量正确/错误样例、自动验收脚本和记录</w:t>
            </w:r>
          </w:p>
        </w:tc>
      </w:tr>
      <w:tr>
        <w:tc>
          <w:tcPr>
            <w:tcW w:type="dxa" w:w="2268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过程材料</w:t>
            </w:r>
          </w:p>
        </w:tc>
        <w:tc>
          <w:tcPr>
            <w:tcW w:type="dxa" w:w="6746"/>
            <w:vAlign w:val="center"/>
            <w:shd w:fill="FFFFFF"/>
          </w:tcPr>
          <w:p>
            <w:r/>
            <w:r>
              <w:rPr>
                <w:rFonts w:ascii="Arial Unicode MS" w:hAnsi="Arial Unicode MS" w:eastAsia="Arial Unicode MS"/>
                <w:b w:val="0"/>
                <w:color w:val="24364D"/>
                <w:sz w:val="19"/>
              </w:rPr>
              <w:t>两阶段汇报讲稿、过程留痕方案、验收记录</w:t>
            </w:r>
          </w:p>
        </w:tc>
      </w:tr>
    </w:tbl>
    <w:p/>
    <w:p>
      <w:r>
        <w:t>结论建议：该任务最终形成的不是单一上传功能，而是一套可维护、可扩展、可验证、可追溯的离线数据接入规范。</w:t>
      </w:r>
    </w:p>
    <w:p>
      <w:pPr>
        <w:pStyle w:val="Heading1"/>
      </w:pPr>
      <w:r>
        <w:t>内部提示：第二次汇报前操作</w:t>
      </w:r>
    </w:p>
    <w:p>
      <w:pPr>
        <w:pStyle w:val="ListBullet"/>
      </w:pPr>
      <w:r>
        <w:t>使用项目根目录下的“启动-第二次Excel导入汇报.command”，无需手改配置。</w:t>
      </w:r>
    </w:p>
    <w:p>
      <w:pPr>
        <w:pStyle w:val="ListBullet"/>
      </w:pPr>
      <w:r>
        <w:t>确认页面显示14类数据表，下载文件名为“可靠性系统完整Excel导入模板.xlsx”。</w:t>
      </w:r>
    </w:p>
    <w:p>
      <w:pPr>
        <w:pStyle w:val="ListBullet"/>
      </w:pPr>
      <w:r>
        <w:t>演示上传时优先使用全量样例；如正式数据库已经导入过该样例，应更换外部记录编号或仅做预检。</w:t>
      </w:r>
    </w:p>
    <w:sectPr w:rsidR="00FC693F" w:rsidRPr="0006063C" w:rsidSect="00034616">
      <w:footerReference w:type="default" r:id="rId9"/>
      <w:pgSz w:w="12240" w:h="15840"/>
      <w:pgMar w:top="1020" w:right="1191" w:bottom="964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数控机床中试验证阶段加工可靠性综合评价系统 · Excel标准导入任务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300" w:lineRule="auto"/>
    </w:pPr>
    <w:rPr>
      <w:rFonts w:ascii="Arial Unicode MS" w:hAnsi="Arial Unicode MS" w:eastAsia="Arial Unicode MS"/>
      <w:color w:val="24364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 Unicode MS" w:hAnsi="Arial Unicode MS" w:eastAsia="Arial Unicode MS"/>
      <w:b/>
      <w:bCs/>
      <w:color w:val="17375E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 Unicode MS" w:hAnsi="Arial Unicode MS" w:eastAsia="Arial Unicode MS"/>
      <w:b/>
      <w:bCs/>
      <w:color w:val="315D8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 Unicode MS" w:hAnsi="Arial Unicode MS" w:eastAsia="Arial Unicode MS"/>
      <w:b/>
      <w:bCs/>
      <w:color w:val="4D769E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 Unicode MS" w:hAnsi="Arial Unicode MS" w:eastAsia="Arial Unicode MS"/>
      <w:color w:val="17375E"/>
      <w:spacing w:val="5"/>
      <w:kern w:val="28"/>
      <w:sz w:val="5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第二次汇报_多场景可靠性数据导入与治理闭环</dc:title>
  <dc:subject>Excel标准导入功能阶段汇报</dc:subject>
  <dc:creator>项目组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