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黑体" w:hAnsi="黑体" w:eastAsia="黑体"/>
          <w:b/>
          <w:sz w:val="36"/>
        </w:rPr>
        <w:t>可靠性软件加工可靠性案例计算说明</w:t>
      </w:r>
    </w:p>
    <w:p>
      <w:pPr>
        <w:jc w:val="center"/>
      </w:pPr>
      <w:r>
        <w:rPr>
          <w:rFonts w:ascii="宋体" w:hAnsi="宋体" w:eastAsia="宋体"/>
          <w:color w:val="596478"/>
          <w:sz w:val="22"/>
        </w:rPr>
        <w:t>面向展示讲解：数据来源、公式链路、归一化与综合得分</w:t>
      </w:r>
    </w:p>
    <w:p>
      <w:pPr>
        <w:pStyle w:val="Heading1"/>
      </w:pPr>
      <w:r>
        <w:rPr>
          <w:rFonts w:ascii="黑体" w:hAnsi="黑体" w:eastAsia="黑体"/>
        </w:rPr>
        <w:t>1. 先说明：说明书是否有案例</w:t>
      </w:r>
    </w:p>
    <w:p>
      <w:pPr>
        <w:spacing w:line="300" w:lineRule="auto"/>
      </w:pPr>
      <w:r>
        <w:rPr>
          <w:rFonts w:ascii="宋体" w:hAnsi="宋体" w:eastAsia="宋体"/>
        </w:rPr>
        <w:t>结论：有。参考文件《说明书-最终-2025.06.11.docx》在“具体实施方式”中给出了一个数控机床加工可靠性综合评价案例。该案例包含13个指标的“指标计算值、归一化值”和综合权重表，最终综合评价结果为 S=0.79。</w:t>
      </w:r>
    </w:p>
    <w:p>
      <w:pPr>
        <w:spacing w:line="300" w:lineRule="auto"/>
      </w:pPr>
      <w:r>
        <w:rPr>
          <w:rFonts w:ascii="宋体" w:hAnsi="宋体" w:eastAsia="宋体"/>
        </w:rPr>
        <w:t>需要注意：说明书案例没有展开原始故障时间、维修时间、退化测点、切削力/夹持力采样和制品逐件样本明细；它给的是已经计算好的指标计算值。因此，本说明文档把说明书案例用于复核“归一化与加权汇总”，同时补充说明软件真实运行时这些指标计算值从哪些数据库记录中得来。</w:t>
      </w:r>
    </w:p>
    <w:p>
      <w:pPr>
        <w:pStyle w:val="Heading1"/>
      </w:pPr>
      <w:r>
        <w:rPr>
          <w:rFonts w:ascii="黑体" w:hAnsi="黑体" w:eastAsia="黑体"/>
        </w:rPr>
        <w:t>2. 加工可靠性评价总逻辑</w:t>
      </w:r>
    </w:p>
    <w:p>
      <w:pPr>
        <w:spacing w:line="300" w:lineRule="auto"/>
      </w:pPr>
      <w:r>
        <w:rPr>
          <w:rFonts w:ascii="宋体" w:hAnsi="宋体" w:eastAsia="宋体"/>
        </w:rPr>
        <w:t>加工可靠性不是单独看设备故障，也不是单独看制品合格率，而是把“设备-过程-产品”三层数据统一到一个综合评价体系中。</w:t>
      </w:r>
    </w:p>
    <w:tbl>
      <w:tblPr>
        <w:tblStyle w:val="TableGrid"/>
        <w:tblW w:type="auto" w:w="0"/>
        <w:jc w:val="center"/>
        <w:tblLook w:firstColumn="1" w:firstRow="1" w:lastColumn="0" w:lastRow="0" w:noHBand="0" w:noVBand="1" w:val="04A0"/>
      </w:tblPr>
      <w:tblGrid>
        <w:gridCol w:w="3324"/>
        <w:gridCol w:w="3324"/>
        <w:gridCol w:w="3324"/>
      </w:tblGrid>
      <w:tr>
        <w:tc>
          <w:tcPr>
            <w:tcW w:type="dxa" w:w="1701"/>
            <w:vAlign w:val="center"/>
            <w:shd w:fill="D9EAF7"/>
          </w:tcPr>
          <w:p>
            <w:pPr>
              <w:jc w:val="center"/>
            </w:pPr>
            <w:r/>
            <w:r>
              <w:rPr>
                <w:rFonts w:ascii="宋体" w:hAnsi="宋体" w:eastAsia="宋体"/>
                <w:b/>
                <w:sz w:val="18"/>
              </w:rPr>
              <w:t>准则层</w:t>
            </w:r>
          </w:p>
        </w:tc>
        <w:tc>
          <w:tcPr>
            <w:tcW w:type="dxa" w:w="3969"/>
            <w:vAlign w:val="center"/>
            <w:shd w:fill="D9EAF7"/>
          </w:tcPr>
          <w:p>
            <w:pPr>
              <w:jc w:val="center"/>
            </w:pPr>
            <w:r/>
            <w:r>
              <w:rPr>
                <w:rFonts w:ascii="宋体" w:hAnsi="宋体" w:eastAsia="宋体"/>
                <w:b/>
                <w:sz w:val="18"/>
              </w:rPr>
              <w:t>指标层</w:t>
            </w:r>
          </w:p>
        </w:tc>
        <w:tc>
          <w:tcPr>
            <w:tcW w:type="dxa" w:w="3402"/>
            <w:vAlign w:val="center"/>
            <w:shd w:fill="D9EAF7"/>
          </w:tcPr>
          <w:p>
            <w:pPr>
              <w:jc w:val="center"/>
            </w:pPr>
            <w:r/>
            <w:r>
              <w:rPr>
                <w:rFonts w:ascii="宋体" w:hAnsi="宋体" w:eastAsia="宋体"/>
                <w:b/>
                <w:sz w:val="18"/>
              </w:rPr>
              <w:t>主要数据来源</w:t>
            </w:r>
          </w:p>
        </w:tc>
      </w:tr>
      <w:tr>
        <w:tc>
          <w:tcPr>
            <w:tcW w:type="dxa" w:w="1701"/>
            <w:vAlign w:val="center"/>
          </w:tcPr>
          <w:p>
            <w:pPr>
              <w:jc w:val="center"/>
            </w:pPr>
            <w:r/>
            <w:r>
              <w:rPr>
                <w:rFonts w:ascii="宋体" w:hAnsi="宋体" w:eastAsia="宋体"/>
                <w:b w:val="0"/>
                <w:sz w:val="18"/>
              </w:rPr>
              <w:t>B1 机床整机</w:t>
            </w:r>
          </w:p>
        </w:tc>
        <w:tc>
          <w:tcPr>
            <w:tcW w:type="dxa" w:w="3969"/>
            <w:vAlign w:val="center"/>
          </w:tcPr>
          <w:p>
            <w:pPr>
              <w:jc w:val="center"/>
            </w:pPr>
            <w:r/>
            <w:r>
              <w:rPr>
                <w:rFonts w:ascii="宋体" w:hAnsi="宋体" w:eastAsia="宋体"/>
                <w:b w:val="0"/>
                <w:sz w:val="18"/>
              </w:rPr>
              <w:t>C111可靠度、C112可用度、C121精度波动度、C122精度退化率、C123刚度退化率</w:t>
            </w:r>
          </w:p>
        </w:tc>
        <w:tc>
          <w:tcPr>
            <w:tcW w:type="dxa" w:w="3402"/>
            <w:vAlign w:val="center"/>
          </w:tcPr>
          <w:p>
            <w:pPr>
              <w:jc w:val="center"/>
            </w:pPr>
            <w:r/>
            <w:r>
              <w:rPr>
                <w:rFonts w:ascii="宋体" w:hAnsi="宋体" w:eastAsia="宋体"/>
                <w:b w:val="0"/>
                <w:sz w:val="18"/>
              </w:rPr>
              <w:t>故障记录、维修记录、精度/刚度退化监测记录</w:t>
            </w:r>
          </w:p>
        </w:tc>
      </w:tr>
      <w:tr>
        <w:tc>
          <w:tcPr>
            <w:tcW w:type="dxa" w:w="1701"/>
            <w:vAlign w:val="center"/>
          </w:tcPr>
          <w:p>
            <w:pPr>
              <w:jc w:val="center"/>
            </w:pPr>
            <w:r/>
            <w:r>
              <w:rPr>
                <w:rFonts w:ascii="宋体" w:hAnsi="宋体" w:eastAsia="宋体"/>
                <w:b w:val="0"/>
                <w:sz w:val="18"/>
              </w:rPr>
              <w:t>B2 辅助部分</w:t>
            </w:r>
          </w:p>
        </w:tc>
        <w:tc>
          <w:tcPr>
            <w:tcW w:type="dxa" w:w="3969"/>
            <w:vAlign w:val="center"/>
          </w:tcPr>
          <w:p>
            <w:pPr>
              <w:jc w:val="center"/>
            </w:pPr>
            <w:r/>
            <w:r>
              <w:rPr>
                <w:rFonts w:ascii="宋体" w:hAnsi="宋体" w:eastAsia="宋体"/>
                <w:b w:val="0"/>
                <w:sz w:val="18"/>
              </w:rPr>
              <w:t>C211失效率、C212平均修复时间、C221切削力波动度、C222夹持力波动度</w:t>
            </w:r>
          </w:p>
        </w:tc>
        <w:tc>
          <w:tcPr>
            <w:tcW w:type="dxa" w:w="3402"/>
            <w:vAlign w:val="center"/>
          </w:tcPr>
          <w:p>
            <w:pPr>
              <w:jc w:val="center"/>
            </w:pPr>
            <w:r/>
            <w:r>
              <w:rPr>
                <w:rFonts w:ascii="宋体" w:hAnsi="宋体" w:eastAsia="宋体"/>
                <w:b w:val="0"/>
                <w:sz w:val="18"/>
              </w:rPr>
              <w:t>刀具/夹具/工装等辅助部分故障记录，切削力与夹持力监测记录</w:t>
            </w:r>
          </w:p>
        </w:tc>
      </w:tr>
      <w:tr>
        <w:tc>
          <w:tcPr>
            <w:tcW w:type="dxa" w:w="1701"/>
            <w:vAlign w:val="center"/>
          </w:tcPr>
          <w:p>
            <w:pPr>
              <w:jc w:val="center"/>
            </w:pPr>
            <w:r/>
            <w:r>
              <w:rPr>
                <w:rFonts w:ascii="宋体" w:hAnsi="宋体" w:eastAsia="宋体"/>
                <w:b w:val="0"/>
                <w:sz w:val="18"/>
              </w:rPr>
              <w:t>B3 制品</w:t>
            </w:r>
          </w:p>
        </w:tc>
        <w:tc>
          <w:tcPr>
            <w:tcW w:type="dxa" w:w="3969"/>
            <w:vAlign w:val="center"/>
          </w:tcPr>
          <w:p>
            <w:pPr>
              <w:jc w:val="center"/>
            </w:pPr>
            <w:r/>
            <w:r>
              <w:rPr>
                <w:rFonts w:ascii="宋体" w:hAnsi="宋体" w:eastAsia="宋体"/>
                <w:b w:val="0"/>
                <w:sz w:val="18"/>
              </w:rPr>
              <w:t>C311合格率、C321表面粗糙度一致性、C322几何精度符合率、C323尺寸公差符合率</w:t>
            </w:r>
          </w:p>
        </w:tc>
        <w:tc>
          <w:tcPr>
            <w:tcW w:type="dxa" w:w="3402"/>
            <w:vAlign w:val="center"/>
          </w:tcPr>
          <w:p>
            <w:pPr>
              <w:jc w:val="center"/>
            </w:pPr>
            <w:r/>
            <w:r>
              <w:rPr>
                <w:rFonts w:ascii="宋体" w:hAnsi="宋体" w:eastAsia="宋体"/>
                <w:b w:val="0"/>
                <w:sz w:val="18"/>
              </w:rPr>
              <w:t>制品批次、抽样总数、合格数、各制品参数实测值和公差配置</w:t>
            </w:r>
          </w:p>
        </w:tc>
      </w:tr>
    </w:tbl>
    <w:p>
      <w:pPr>
        <w:spacing w:line="300" w:lineRule="auto"/>
      </w:pPr>
      <w:r>
        <w:rPr>
          <w:rFonts w:ascii="宋体" w:hAnsi="宋体" w:eastAsia="宋体"/>
        </w:rPr>
        <w:t>整体计算管道为：原始记录 → 13个指标计算值 x → 正/逆向归一化 z → 按综合权重 w 加权求和 → 输出 S。</w:t>
      </w:r>
    </w:p>
    <w:p>
      <w:pPr>
        <w:spacing w:line="300" w:lineRule="auto"/>
      </w:pPr>
      <w:r>
        <w:rPr>
          <w:rFonts w:ascii="宋体" w:hAnsi="宋体" w:eastAsia="宋体"/>
        </w:rPr>
        <w:t>总公式：S = Σ(w_i × z_i)。其中 z_i 为归一化后的评价值，w_i 为说明书权重表中的综合权重。</w:t>
      </w:r>
    </w:p>
    <w:p>
      <w:pPr>
        <w:pStyle w:val="Heading1"/>
      </w:pPr>
      <w:r>
        <w:rPr>
          <w:rFonts w:ascii="黑体" w:hAnsi="黑体" w:eastAsia="黑体"/>
        </w:rPr>
        <w:t>3. 说明书案例：13个指标如何参与最终得分</w:t>
      </w:r>
    </w:p>
    <w:tbl>
      <w:tblPr>
        <w:tblStyle w:val="TableGrid"/>
        <w:tblW w:type="auto" w:w="0"/>
        <w:jc w:val="center"/>
        <w:tblLook w:firstColumn="1" w:firstRow="1" w:lastColumn="0" w:lastRow="0" w:noHBand="0" w:noVBand="1" w:val="04A0"/>
      </w:tblPr>
      <w:tblGrid>
        <w:gridCol w:w="1246"/>
        <w:gridCol w:w="1246"/>
        <w:gridCol w:w="1246"/>
        <w:gridCol w:w="1246"/>
        <w:gridCol w:w="1246"/>
        <w:gridCol w:w="1246"/>
        <w:gridCol w:w="1246"/>
        <w:gridCol w:w="1246"/>
      </w:tblGrid>
      <w:tr>
        <w:tc>
          <w:tcPr>
            <w:tcW w:type="dxa" w:w="794"/>
            <w:vAlign w:val="center"/>
            <w:shd w:fill="D9EAF7"/>
          </w:tcPr>
          <w:p>
            <w:pPr>
              <w:jc w:val="center"/>
            </w:pPr>
            <w:r/>
            <w:r>
              <w:rPr>
                <w:rFonts w:ascii="宋体" w:hAnsi="宋体" w:eastAsia="宋体"/>
                <w:b/>
                <w:sz w:val="18"/>
              </w:rPr>
              <w:t>代码</w:t>
            </w:r>
          </w:p>
        </w:tc>
        <w:tc>
          <w:tcPr>
            <w:tcW w:type="dxa" w:w="1417"/>
            <w:vAlign w:val="center"/>
            <w:shd w:fill="D9EAF7"/>
          </w:tcPr>
          <w:p>
            <w:pPr>
              <w:jc w:val="center"/>
            </w:pPr>
            <w:r/>
            <w:r>
              <w:rPr>
                <w:rFonts w:ascii="宋体" w:hAnsi="宋体" w:eastAsia="宋体"/>
                <w:b/>
                <w:sz w:val="18"/>
              </w:rPr>
              <w:t>指标</w:t>
            </w:r>
          </w:p>
        </w:tc>
        <w:tc>
          <w:tcPr>
            <w:tcW w:type="dxa" w:w="1020"/>
            <w:vAlign w:val="center"/>
            <w:shd w:fill="D9EAF7"/>
          </w:tcPr>
          <w:p>
            <w:pPr>
              <w:jc w:val="center"/>
            </w:pPr>
            <w:r/>
            <w:r>
              <w:rPr>
                <w:rFonts w:ascii="宋体" w:hAnsi="宋体" w:eastAsia="宋体"/>
                <w:b/>
                <w:sz w:val="18"/>
              </w:rPr>
              <w:t>极端值</w:t>
            </w:r>
          </w:p>
        </w:tc>
        <w:tc>
          <w:tcPr>
            <w:tcW w:type="dxa" w:w="1020"/>
            <w:vAlign w:val="center"/>
            <w:shd w:fill="D9EAF7"/>
          </w:tcPr>
          <w:p>
            <w:pPr>
              <w:jc w:val="center"/>
            </w:pPr>
            <w:r/>
            <w:r>
              <w:rPr>
                <w:rFonts w:ascii="宋体" w:hAnsi="宋体" w:eastAsia="宋体"/>
                <w:b/>
                <w:sz w:val="18"/>
              </w:rPr>
              <w:t>理想值</w:t>
            </w:r>
          </w:p>
        </w:tc>
        <w:tc>
          <w:tcPr>
            <w:tcW w:type="dxa" w:w="1247"/>
            <w:vAlign w:val="center"/>
            <w:shd w:fill="D9EAF7"/>
          </w:tcPr>
          <w:p>
            <w:pPr>
              <w:jc w:val="center"/>
            </w:pPr>
            <w:r/>
            <w:r>
              <w:rPr>
                <w:rFonts w:ascii="宋体" w:hAnsi="宋体" w:eastAsia="宋体"/>
                <w:b/>
                <w:sz w:val="18"/>
              </w:rPr>
              <w:t>指标计算值x</w:t>
            </w:r>
          </w:p>
        </w:tc>
        <w:tc>
          <w:tcPr>
            <w:tcW w:type="dxa" w:w="1020"/>
            <w:vAlign w:val="center"/>
            <w:shd w:fill="D9EAF7"/>
          </w:tcPr>
          <w:p>
            <w:pPr>
              <w:jc w:val="center"/>
            </w:pPr>
            <w:r/>
            <w:r>
              <w:rPr>
                <w:rFonts w:ascii="宋体" w:hAnsi="宋体" w:eastAsia="宋体"/>
                <w:b/>
                <w:sz w:val="18"/>
              </w:rPr>
              <w:t>归一化z</w:t>
            </w:r>
          </w:p>
        </w:tc>
        <w:tc>
          <w:tcPr>
            <w:tcW w:type="dxa" w:w="1020"/>
            <w:vAlign w:val="center"/>
            <w:shd w:fill="D9EAF7"/>
          </w:tcPr>
          <w:p>
            <w:pPr>
              <w:jc w:val="center"/>
            </w:pPr>
            <w:r/>
            <w:r>
              <w:rPr>
                <w:rFonts w:ascii="宋体" w:hAnsi="宋体" w:eastAsia="宋体"/>
                <w:b/>
                <w:sz w:val="18"/>
              </w:rPr>
              <w:t>综合权重w</w:t>
            </w:r>
          </w:p>
        </w:tc>
        <w:tc>
          <w:tcPr>
            <w:tcW w:type="dxa" w:w="1020"/>
            <w:vAlign w:val="center"/>
            <w:shd w:fill="D9EAF7"/>
          </w:tcPr>
          <w:p>
            <w:pPr>
              <w:jc w:val="center"/>
            </w:pPr>
            <w:r/>
            <w:r>
              <w:rPr>
                <w:rFonts w:ascii="宋体" w:hAnsi="宋体" w:eastAsia="宋体"/>
                <w:b/>
                <w:sz w:val="18"/>
              </w:rPr>
              <w:t>贡献w×z</w:t>
            </w:r>
          </w:p>
        </w:tc>
      </w:tr>
      <w:tr>
        <w:tc>
          <w:tcPr>
            <w:tcW w:type="dxa" w:w="794"/>
            <w:vAlign w:val="center"/>
          </w:tcPr>
          <w:p>
            <w:pPr>
              <w:jc w:val="center"/>
            </w:pPr>
            <w:r/>
            <w:r>
              <w:rPr>
                <w:rFonts w:ascii="宋体" w:hAnsi="宋体" w:eastAsia="宋体"/>
                <w:b w:val="0"/>
                <w:sz w:val="18"/>
              </w:rPr>
              <w:t>C111</w:t>
            </w:r>
          </w:p>
        </w:tc>
        <w:tc>
          <w:tcPr>
            <w:tcW w:type="dxa" w:w="1417"/>
            <w:vAlign w:val="center"/>
          </w:tcPr>
          <w:p>
            <w:pPr>
              <w:jc w:val="center"/>
            </w:pPr>
            <w:r/>
            <w:r>
              <w:rPr>
                <w:rFonts w:ascii="宋体" w:hAnsi="宋体" w:eastAsia="宋体"/>
                <w:b w:val="0"/>
                <w:sz w:val="18"/>
              </w:rPr>
              <w:t>可靠度</w:t>
            </w:r>
          </w:p>
        </w:tc>
        <w:tc>
          <w:tcPr>
            <w:tcW w:type="dxa" w:w="1020"/>
            <w:vAlign w:val="center"/>
          </w:tcPr>
          <w:p>
            <w:pPr>
              <w:jc w:val="center"/>
            </w:pPr>
            <w:r/>
            <w:r>
              <w:rPr>
                <w:rFonts w:ascii="宋体" w:hAnsi="宋体" w:eastAsia="宋体"/>
                <w:b w:val="0"/>
                <w:sz w:val="18"/>
              </w:rPr>
              <w:t>0.85</w:t>
            </w:r>
          </w:p>
        </w:tc>
        <w:tc>
          <w:tcPr>
            <w:tcW w:type="dxa" w:w="1020"/>
            <w:vAlign w:val="center"/>
          </w:tcPr>
          <w:p>
            <w:pPr>
              <w:jc w:val="center"/>
            </w:pPr>
            <w:r/>
            <w:r>
              <w:rPr>
                <w:rFonts w:ascii="宋体" w:hAnsi="宋体" w:eastAsia="宋体"/>
                <w:b w:val="0"/>
                <w:sz w:val="18"/>
              </w:rPr>
              <w:t>1.00</w:t>
            </w:r>
          </w:p>
        </w:tc>
        <w:tc>
          <w:tcPr>
            <w:tcW w:type="dxa" w:w="1247"/>
            <w:vAlign w:val="center"/>
          </w:tcPr>
          <w:p>
            <w:pPr>
              <w:jc w:val="center"/>
            </w:pPr>
            <w:r/>
            <w:r>
              <w:rPr>
                <w:rFonts w:ascii="宋体" w:hAnsi="宋体" w:eastAsia="宋体"/>
                <w:b w:val="0"/>
                <w:sz w:val="18"/>
              </w:rPr>
              <w:t>0.97</w:t>
            </w:r>
          </w:p>
        </w:tc>
        <w:tc>
          <w:tcPr>
            <w:tcW w:type="dxa" w:w="1020"/>
            <w:vAlign w:val="center"/>
          </w:tcPr>
          <w:p>
            <w:pPr>
              <w:jc w:val="center"/>
            </w:pPr>
            <w:r/>
            <w:r>
              <w:rPr>
                <w:rFonts w:ascii="宋体" w:hAnsi="宋体" w:eastAsia="宋体"/>
                <w:b w:val="0"/>
                <w:sz w:val="18"/>
              </w:rPr>
              <w:t>0.80</w:t>
            </w:r>
          </w:p>
        </w:tc>
        <w:tc>
          <w:tcPr>
            <w:tcW w:type="dxa" w:w="1020"/>
            <w:vAlign w:val="center"/>
          </w:tcPr>
          <w:p>
            <w:pPr>
              <w:jc w:val="center"/>
            </w:pPr>
            <w:r/>
            <w:r>
              <w:rPr>
                <w:rFonts w:ascii="宋体" w:hAnsi="宋体" w:eastAsia="宋体"/>
                <w:b w:val="0"/>
                <w:sz w:val="18"/>
              </w:rPr>
              <w:t>0.0891</w:t>
            </w:r>
          </w:p>
        </w:tc>
        <w:tc>
          <w:tcPr>
            <w:tcW w:type="dxa" w:w="1020"/>
            <w:vAlign w:val="center"/>
          </w:tcPr>
          <w:p>
            <w:pPr>
              <w:jc w:val="center"/>
            </w:pPr>
            <w:r/>
            <w:r>
              <w:rPr>
                <w:rFonts w:ascii="宋体" w:hAnsi="宋体" w:eastAsia="宋体"/>
                <w:b w:val="0"/>
                <w:sz w:val="18"/>
              </w:rPr>
              <w:t>0.0713</w:t>
            </w:r>
          </w:p>
        </w:tc>
      </w:tr>
      <w:tr>
        <w:tc>
          <w:tcPr>
            <w:tcW w:type="dxa" w:w="794"/>
            <w:vAlign w:val="center"/>
          </w:tcPr>
          <w:p>
            <w:pPr>
              <w:jc w:val="center"/>
            </w:pPr>
            <w:r/>
            <w:r>
              <w:rPr>
                <w:rFonts w:ascii="宋体" w:hAnsi="宋体" w:eastAsia="宋体"/>
                <w:b w:val="0"/>
                <w:sz w:val="18"/>
              </w:rPr>
              <w:t>C112</w:t>
            </w:r>
          </w:p>
        </w:tc>
        <w:tc>
          <w:tcPr>
            <w:tcW w:type="dxa" w:w="1417"/>
            <w:vAlign w:val="center"/>
          </w:tcPr>
          <w:p>
            <w:pPr>
              <w:jc w:val="center"/>
            </w:pPr>
            <w:r/>
            <w:r>
              <w:rPr>
                <w:rFonts w:ascii="宋体" w:hAnsi="宋体" w:eastAsia="宋体"/>
                <w:b w:val="0"/>
                <w:sz w:val="18"/>
              </w:rPr>
              <w:t>可用度</w:t>
            </w:r>
          </w:p>
        </w:tc>
        <w:tc>
          <w:tcPr>
            <w:tcW w:type="dxa" w:w="1020"/>
            <w:vAlign w:val="center"/>
          </w:tcPr>
          <w:p>
            <w:pPr>
              <w:jc w:val="center"/>
            </w:pPr>
            <w:r/>
            <w:r>
              <w:rPr>
                <w:rFonts w:ascii="宋体" w:hAnsi="宋体" w:eastAsia="宋体"/>
                <w:b w:val="0"/>
                <w:sz w:val="18"/>
              </w:rPr>
              <w:t>0.80</w:t>
            </w:r>
          </w:p>
        </w:tc>
        <w:tc>
          <w:tcPr>
            <w:tcW w:type="dxa" w:w="1020"/>
            <w:vAlign w:val="center"/>
          </w:tcPr>
          <w:p>
            <w:pPr>
              <w:jc w:val="center"/>
            </w:pPr>
            <w:r/>
            <w:r>
              <w:rPr>
                <w:rFonts w:ascii="宋体" w:hAnsi="宋体" w:eastAsia="宋体"/>
                <w:b w:val="0"/>
                <w:sz w:val="18"/>
              </w:rPr>
              <w:t>1.00</w:t>
            </w:r>
          </w:p>
        </w:tc>
        <w:tc>
          <w:tcPr>
            <w:tcW w:type="dxa" w:w="1247"/>
            <w:vAlign w:val="center"/>
          </w:tcPr>
          <w:p>
            <w:pPr>
              <w:jc w:val="center"/>
            </w:pPr>
            <w:r/>
            <w:r>
              <w:rPr>
                <w:rFonts w:ascii="宋体" w:hAnsi="宋体" w:eastAsia="宋体"/>
                <w:b w:val="0"/>
                <w:sz w:val="18"/>
              </w:rPr>
              <w:t>0.93</w:t>
            </w:r>
          </w:p>
        </w:tc>
        <w:tc>
          <w:tcPr>
            <w:tcW w:type="dxa" w:w="1020"/>
            <w:vAlign w:val="center"/>
          </w:tcPr>
          <w:p>
            <w:pPr>
              <w:jc w:val="center"/>
            </w:pPr>
            <w:r/>
            <w:r>
              <w:rPr>
                <w:rFonts w:ascii="宋体" w:hAnsi="宋体" w:eastAsia="宋体"/>
                <w:b w:val="0"/>
                <w:sz w:val="18"/>
              </w:rPr>
              <w:t>0.65</w:t>
            </w:r>
          </w:p>
        </w:tc>
        <w:tc>
          <w:tcPr>
            <w:tcW w:type="dxa" w:w="1020"/>
            <w:vAlign w:val="center"/>
          </w:tcPr>
          <w:p>
            <w:pPr>
              <w:jc w:val="center"/>
            </w:pPr>
            <w:r/>
            <w:r>
              <w:rPr>
                <w:rFonts w:ascii="宋体" w:hAnsi="宋体" w:eastAsia="宋体"/>
                <w:b w:val="0"/>
                <w:sz w:val="18"/>
              </w:rPr>
              <w:t>0.0891</w:t>
            </w:r>
          </w:p>
        </w:tc>
        <w:tc>
          <w:tcPr>
            <w:tcW w:type="dxa" w:w="1020"/>
            <w:vAlign w:val="center"/>
          </w:tcPr>
          <w:p>
            <w:pPr>
              <w:jc w:val="center"/>
            </w:pPr>
            <w:r/>
            <w:r>
              <w:rPr>
                <w:rFonts w:ascii="宋体" w:hAnsi="宋体" w:eastAsia="宋体"/>
                <w:b w:val="0"/>
                <w:sz w:val="18"/>
              </w:rPr>
              <w:t>0.0579</w:t>
            </w:r>
          </w:p>
        </w:tc>
      </w:tr>
      <w:tr>
        <w:tc>
          <w:tcPr>
            <w:tcW w:type="dxa" w:w="794"/>
            <w:vAlign w:val="center"/>
          </w:tcPr>
          <w:p>
            <w:pPr>
              <w:jc w:val="center"/>
            </w:pPr>
            <w:r/>
            <w:r>
              <w:rPr>
                <w:rFonts w:ascii="宋体" w:hAnsi="宋体" w:eastAsia="宋体"/>
                <w:b w:val="0"/>
                <w:sz w:val="18"/>
              </w:rPr>
              <w:t>C121</w:t>
            </w:r>
          </w:p>
        </w:tc>
        <w:tc>
          <w:tcPr>
            <w:tcW w:type="dxa" w:w="1417"/>
            <w:vAlign w:val="center"/>
          </w:tcPr>
          <w:p>
            <w:pPr>
              <w:jc w:val="center"/>
            </w:pPr>
            <w:r/>
            <w:r>
              <w:rPr>
                <w:rFonts w:ascii="宋体" w:hAnsi="宋体" w:eastAsia="宋体"/>
                <w:b w:val="0"/>
                <w:sz w:val="18"/>
              </w:rPr>
              <w:t>精度波动度</w:t>
            </w:r>
          </w:p>
        </w:tc>
        <w:tc>
          <w:tcPr>
            <w:tcW w:type="dxa" w:w="1020"/>
            <w:vAlign w:val="center"/>
          </w:tcPr>
          <w:p>
            <w:pPr>
              <w:jc w:val="center"/>
            </w:pPr>
            <w:r/>
            <w:r>
              <w:rPr>
                <w:rFonts w:ascii="宋体" w:hAnsi="宋体" w:eastAsia="宋体"/>
                <w:b w:val="0"/>
                <w:sz w:val="18"/>
              </w:rPr>
              <w:t>0.14</w:t>
            </w:r>
          </w:p>
        </w:tc>
        <w:tc>
          <w:tcPr>
            <w:tcW w:type="dxa" w:w="1020"/>
            <w:vAlign w:val="center"/>
          </w:tcPr>
          <w:p>
            <w:pPr>
              <w:jc w:val="center"/>
            </w:pPr>
            <w:r/>
            <w:r>
              <w:rPr>
                <w:rFonts w:ascii="宋体" w:hAnsi="宋体" w:eastAsia="宋体"/>
                <w:b w:val="0"/>
                <w:sz w:val="18"/>
              </w:rPr>
              <w:t>0</w:t>
            </w:r>
          </w:p>
        </w:tc>
        <w:tc>
          <w:tcPr>
            <w:tcW w:type="dxa" w:w="1247"/>
            <w:vAlign w:val="center"/>
          </w:tcPr>
          <w:p>
            <w:pPr>
              <w:jc w:val="center"/>
            </w:pPr>
            <w:r/>
            <w:r>
              <w:rPr>
                <w:rFonts w:ascii="宋体" w:hAnsi="宋体" w:eastAsia="宋体"/>
                <w:b w:val="0"/>
                <w:sz w:val="18"/>
              </w:rPr>
              <w:t>0.03</w:t>
            </w:r>
          </w:p>
        </w:tc>
        <w:tc>
          <w:tcPr>
            <w:tcW w:type="dxa" w:w="1020"/>
            <w:vAlign w:val="center"/>
          </w:tcPr>
          <w:p>
            <w:pPr>
              <w:jc w:val="center"/>
            </w:pPr>
            <w:r/>
            <w:r>
              <w:rPr>
                <w:rFonts w:ascii="宋体" w:hAnsi="宋体" w:eastAsia="宋体"/>
                <w:b w:val="0"/>
                <w:sz w:val="18"/>
              </w:rPr>
              <w:t>0.79</w:t>
            </w:r>
          </w:p>
        </w:tc>
        <w:tc>
          <w:tcPr>
            <w:tcW w:type="dxa" w:w="1020"/>
            <w:vAlign w:val="center"/>
          </w:tcPr>
          <w:p>
            <w:pPr>
              <w:jc w:val="center"/>
            </w:pPr>
            <w:r/>
            <w:r>
              <w:rPr>
                <w:rFonts w:ascii="宋体" w:hAnsi="宋体" w:eastAsia="宋体"/>
                <w:b w:val="0"/>
                <w:sz w:val="18"/>
              </w:rPr>
              <w:t>0.1085</w:t>
            </w:r>
          </w:p>
        </w:tc>
        <w:tc>
          <w:tcPr>
            <w:tcW w:type="dxa" w:w="1020"/>
            <w:vAlign w:val="center"/>
          </w:tcPr>
          <w:p>
            <w:pPr>
              <w:jc w:val="center"/>
            </w:pPr>
            <w:r/>
            <w:r>
              <w:rPr>
                <w:rFonts w:ascii="宋体" w:hAnsi="宋体" w:eastAsia="宋体"/>
                <w:b w:val="0"/>
                <w:sz w:val="18"/>
              </w:rPr>
              <w:t>0.0857</w:t>
            </w:r>
          </w:p>
        </w:tc>
      </w:tr>
      <w:tr>
        <w:tc>
          <w:tcPr>
            <w:tcW w:type="dxa" w:w="794"/>
            <w:vAlign w:val="center"/>
          </w:tcPr>
          <w:p>
            <w:pPr>
              <w:jc w:val="center"/>
            </w:pPr>
            <w:r/>
            <w:r>
              <w:rPr>
                <w:rFonts w:ascii="宋体" w:hAnsi="宋体" w:eastAsia="宋体"/>
                <w:b w:val="0"/>
                <w:sz w:val="18"/>
              </w:rPr>
              <w:t>C122</w:t>
            </w:r>
          </w:p>
        </w:tc>
        <w:tc>
          <w:tcPr>
            <w:tcW w:type="dxa" w:w="1417"/>
            <w:vAlign w:val="center"/>
          </w:tcPr>
          <w:p>
            <w:pPr>
              <w:jc w:val="center"/>
            </w:pPr>
            <w:r/>
            <w:r>
              <w:rPr>
                <w:rFonts w:ascii="宋体" w:hAnsi="宋体" w:eastAsia="宋体"/>
                <w:b w:val="0"/>
                <w:sz w:val="18"/>
              </w:rPr>
              <w:t>精度退化率</w:t>
            </w:r>
          </w:p>
        </w:tc>
        <w:tc>
          <w:tcPr>
            <w:tcW w:type="dxa" w:w="1020"/>
            <w:vAlign w:val="center"/>
          </w:tcPr>
          <w:p>
            <w:pPr>
              <w:jc w:val="center"/>
            </w:pPr>
            <w:r/>
            <w:r>
              <w:rPr>
                <w:rFonts w:ascii="宋体" w:hAnsi="宋体" w:eastAsia="宋体"/>
                <w:b w:val="0"/>
                <w:sz w:val="18"/>
              </w:rPr>
              <w:t>0.30</w:t>
            </w:r>
          </w:p>
        </w:tc>
        <w:tc>
          <w:tcPr>
            <w:tcW w:type="dxa" w:w="1020"/>
            <w:vAlign w:val="center"/>
          </w:tcPr>
          <w:p>
            <w:pPr>
              <w:jc w:val="center"/>
            </w:pPr>
            <w:r/>
            <w:r>
              <w:rPr>
                <w:rFonts w:ascii="宋体" w:hAnsi="宋体" w:eastAsia="宋体"/>
                <w:b w:val="0"/>
                <w:sz w:val="18"/>
              </w:rPr>
              <w:t>0</w:t>
            </w:r>
          </w:p>
        </w:tc>
        <w:tc>
          <w:tcPr>
            <w:tcW w:type="dxa" w:w="1247"/>
            <w:vAlign w:val="center"/>
          </w:tcPr>
          <w:p>
            <w:pPr>
              <w:jc w:val="center"/>
            </w:pPr>
            <w:r/>
            <w:r>
              <w:rPr>
                <w:rFonts w:ascii="宋体" w:hAnsi="宋体" w:eastAsia="宋体"/>
                <w:b w:val="0"/>
                <w:sz w:val="18"/>
              </w:rPr>
              <w:t>0.09</w:t>
            </w:r>
          </w:p>
        </w:tc>
        <w:tc>
          <w:tcPr>
            <w:tcW w:type="dxa" w:w="1020"/>
            <w:vAlign w:val="center"/>
          </w:tcPr>
          <w:p>
            <w:pPr>
              <w:jc w:val="center"/>
            </w:pPr>
            <w:r/>
            <w:r>
              <w:rPr>
                <w:rFonts w:ascii="宋体" w:hAnsi="宋体" w:eastAsia="宋体"/>
                <w:b w:val="0"/>
                <w:sz w:val="18"/>
              </w:rPr>
              <w:t>0.70</w:t>
            </w:r>
          </w:p>
        </w:tc>
        <w:tc>
          <w:tcPr>
            <w:tcW w:type="dxa" w:w="1020"/>
            <w:vAlign w:val="center"/>
          </w:tcPr>
          <w:p>
            <w:pPr>
              <w:jc w:val="center"/>
            </w:pPr>
            <w:r/>
            <w:r>
              <w:rPr>
                <w:rFonts w:ascii="宋体" w:hAnsi="宋体" w:eastAsia="宋体"/>
                <w:b w:val="0"/>
                <w:sz w:val="18"/>
              </w:rPr>
              <w:t>0.1448</w:t>
            </w:r>
          </w:p>
        </w:tc>
        <w:tc>
          <w:tcPr>
            <w:tcW w:type="dxa" w:w="1020"/>
            <w:vAlign w:val="center"/>
          </w:tcPr>
          <w:p>
            <w:pPr>
              <w:jc w:val="center"/>
            </w:pPr>
            <w:r/>
            <w:r>
              <w:rPr>
                <w:rFonts w:ascii="宋体" w:hAnsi="宋体" w:eastAsia="宋体"/>
                <w:b w:val="0"/>
                <w:sz w:val="18"/>
              </w:rPr>
              <w:t>0.1014</w:t>
            </w:r>
          </w:p>
        </w:tc>
      </w:tr>
      <w:tr>
        <w:tc>
          <w:tcPr>
            <w:tcW w:type="dxa" w:w="794"/>
            <w:vAlign w:val="center"/>
          </w:tcPr>
          <w:p>
            <w:pPr>
              <w:jc w:val="center"/>
            </w:pPr>
            <w:r/>
            <w:r>
              <w:rPr>
                <w:rFonts w:ascii="宋体" w:hAnsi="宋体" w:eastAsia="宋体"/>
                <w:b w:val="0"/>
                <w:sz w:val="18"/>
              </w:rPr>
              <w:t>C123</w:t>
            </w:r>
          </w:p>
        </w:tc>
        <w:tc>
          <w:tcPr>
            <w:tcW w:type="dxa" w:w="1417"/>
            <w:vAlign w:val="center"/>
          </w:tcPr>
          <w:p>
            <w:pPr>
              <w:jc w:val="center"/>
            </w:pPr>
            <w:r/>
            <w:r>
              <w:rPr>
                <w:rFonts w:ascii="宋体" w:hAnsi="宋体" w:eastAsia="宋体"/>
                <w:b w:val="0"/>
                <w:sz w:val="18"/>
              </w:rPr>
              <w:t>刚度退化率</w:t>
            </w:r>
          </w:p>
        </w:tc>
        <w:tc>
          <w:tcPr>
            <w:tcW w:type="dxa" w:w="1020"/>
            <w:vAlign w:val="center"/>
          </w:tcPr>
          <w:p>
            <w:pPr>
              <w:jc w:val="center"/>
            </w:pPr>
            <w:r/>
            <w:r>
              <w:rPr>
                <w:rFonts w:ascii="宋体" w:hAnsi="宋体" w:eastAsia="宋体"/>
                <w:b w:val="0"/>
                <w:sz w:val="18"/>
              </w:rPr>
              <w:t>0.20</w:t>
            </w:r>
          </w:p>
        </w:tc>
        <w:tc>
          <w:tcPr>
            <w:tcW w:type="dxa" w:w="1020"/>
            <w:vAlign w:val="center"/>
          </w:tcPr>
          <w:p>
            <w:pPr>
              <w:jc w:val="center"/>
            </w:pPr>
            <w:r/>
            <w:r>
              <w:rPr>
                <w:rFonts w:ascii="宋体" w:hAnsi="宋体" w:eastAsia="宋体"/>
                <w:b w:val="0"/>
                <w:sz w:val="18"/>
              </w:rPr>
              <w:t>0</w:t>
            </w:r>
          </w:p>
        </w:tc>
        <w:tc>
          <w:tcPr>
            <w:tcW w:type="dxa" w:w="1247"/>
            <w:vAlign w:val="center"/>
          </w:tcPr>
          <w:p>
            <w:pPr>
              <w:jc w:val="center"/>
            </w:pPr>
            <w:r/>
            <w:r>
              <w:rPr>
                <w:rFonts w:ascii="宋体" w:hAnsi="宋体" w:eastAsia="宋体"/>
                <w:b w:val="0"/>
                <w:sz w:val="18"/>
              </w:rPr>
              <w:t>0.05</w:t>
            </w:r>
          </w:p>
        </w:tc>
        <w:tc>
          <w:tcPr>
            <w:tcW w:type="dxa" w:w="1020"/>
            <w:vAlign w:val="center"/>
          </w:tcPr>
          <w:p>
            <w:pPr>
              <w:jc w:val="center"/>
            </w:pPr>
            <w:r/>
            <w:r>
              <w:rPr>
                <w:rFonts w:ascii="宋体" w:hAnsi="宋体" w:eastAsia="宋体"/>
                <w:b w:val="0"/>
                <w:sz w:val="18"/>
              </w:rPr>
              <w:t>0.75</w:t>
            </w:r>
          </w:p>
        </w:tc>
        <w:tc>
          <w:tcPr>
            <w:tcW w:type="dxa" w:w="1020"/>
            <w:vAlign w:val="center"/>
          </w:tcPr>
          <w:p>
            <w:pPr>
              <w:jc w:val="center"/>
            </w:pPr>
            <w:r/>
            <w:r>
              <w:rPr>
                <w:rFonts w:ascii="宋体" w:hAnsi="宋体" w:eastAsia="宋体"/>
                <w:b w:val="0"/>
                <w:sz w:val="18"/>
              </w:rPr>
              <w:t>0.1085</w:t>
            </w:r>
          </w:p>
        </w:tc>
        <w:tc>
          <w:tcPr>
            <w:tcW w:type="dxa" w:w="1020"/>
            <w:vAlign w:val="center"/>
          </w:tcPr>
          <w:p>
            <w:pPr>
              <w:jc w:val="center"/>
            </w:pPr>
            <w:r/>
            <w:r>
              <w:rPr>
                <w:rFonts w:ascii="宋体" w:hAnsi="宋体" w:eastAsia="宋体"/>
                <w:b w:val="0"/>
                <w:sz w:val="18"/>
              </w:rPr>
              <w:t>0.0814</w:t>
            </w:r>
          </w:p>
        </w:tc>
      </w:tr>
      <w:tr>
        <w:tc>
          <w:tcPr>
            <w:tcW w:type="dxa" w:w="794"/>
            <w:vAlign w:val="center"/>
          </w:tcPr>
          <w:p>
            <w:pPr>
              <w:jc w:val="center"/>
            </w:pPr>
            <w:r/>
            <w:r>
              <w:rPr>
                <w:rFonts w:ascii="宋体" w:hAnsi="宋体" w:eastAsia="宋体"/>
                <w:b w:val="0"/>
                <w:sz w:val="18"/>
              </w:rPr>
              <w:t>C211</w:t>
            </w:r>
          </w:p>
        </w:tc>
        <w:tc>
          <w:tcPr>
            <w:tcW w:type="dxa" w:w="1417"/>
            <w:vAlign w:val="center"/>
          </w:tcPr>
          <w:p>
            <w:pPr>
              <w:jc w:val="center"/>
            </w:pPr>
            <w:r/>
            <w:r>
              <w:rPr>
                <w:rFonts w:ascii="宋体" w:hAnsi="宋体" w:eastAsia="宋体"/>
                <w:b w:val="0"/>
                <w:sz w:val="18"/>
              </w:rPr>
              <w:t>失效率</w:t>
            </w:r>
          </w:p>
        </w:tc>
        <w:tc>
          <w:tcPr>
            <w:tcW w:type="dxa" w:w="1020"/>
            <w:vAlign w:val="center"/>
          </w:tcPr>
          <w:p>
            <w:pPr>
              <w:jc w:val="center"/>
            </w:pPr>
            <w:r/>
            <w:r>
              <w:rPr>
                <w:rFonts w:ascii="宋体" w:hAnsi="宋体" w:eastAsia="宋体"/>
                <w:b w:val="0"/>
                <w:sz w:val="18"/>
              </w:rPr>
              <w:t>0.10</w:t>
            </w:r>
          </w:p>
        </w:tc>
        <w:tc>
          <w:tcPr>
            <w:tcW w:type="dxa" w:w="1020"/>
            <w:vAlign w:val="center"/>
          </w:tcPr>
          <w:p>
            <w:pPr>
              <w:jc w:val="center"/>
            </w:pPr>
            <w:r/>
            <w:r>
              <w:rPr>
                <w:rFonts w:ascii="宋体" w:hAnsi="宋体" w:eastAsia="宋体"/>
                <w:b w:val="0"/>
                <w:sz w:val="18"/>
              </w:rPr>
              <w:t>0</w:t>
            </w:r>
          </w:p>
        </w:tc>
        <w:tc>
          <w:tcPr>
            <w:tcW w:type="dxa" w:w="1247"/>
            <w:vAlign w:val="center"/>
          </w:tcPr>
          <w:p>
            <w:pPr>
              <w:jc w:val="center"/>
            </w:pPr>
            <w:r/>
            <w:r>
              <w:rPr>
                <w:rFonts w:ascii="宋体" w:hAnsi="宋体" w:eastAsia="宋体"/>
                <w:b w:val="0"/>
                <w:sz w:val="18"/>
              </w:rPr>
              <w:t>0.002</w:t>
            </w:r>
          </w:p>
        </w:tc>
        <w:tc>
          <w:tcPr>
            <w:tcW w:type="dxa" w:w="1020"/>
            <w:vAlign w:val="center"/>
          </w:tcPr>
          <w:p>
            <w:pPr>
              <w:jc w:val="center"/>
            </w:pPr>
            <w:r/>
            <w:r>
              <w:rPr>
                <w:rFonts w:ascii="宋体" w:hAnsi="宋体" w:eastAsia="宋体"/>
                <w:b w:val="0"/>
                <w:sz w:val="18"/>
              </w:rPr>
              <w:t>0.98</w:t>
            </w:r>
          </w:p>
        </w:tc>
        <w:tc>
          <w:tcPr>
            <w:tcW w:type="dxa" w:w="1020"/>
            <w:vAlign w:val="center"/>
          </w:tcPr>
          <w:p>
            <w:pPr>
              <w:jc w:val="center"/>
            </w:pPr>
            <w:r/>
            <w:r>
              <w:rPr>
                <w:rFonts w:ascii="宋体" w:hAnsi="宋体" w:eastAsia="宋体"/>
                <w:b w:val="0"/>
                <w:sz w:val="18"/>
              </w:rPr>
              <w:t>0.0696</w:t>
            </w:r>
          </w:p>
        </w:tc>
        <w:tc>
          <w:tcPr>
            <w:tcW w:type="dxa" w:w="1020"/>
            <w:vAlign w:val="center"/>
          </w:tcPr>
          <w:p>
            <w:pPr>
              <w:jc w:val="center"/>
            </w:pPr>
            <w:r/>
            <w:r>
              <w:rPr>
                <w:rFonts w:ascii="宋体" w:hAnsi="宋体" w:eastAsia="宋体"/>
                <w:b w:val="0"/>
                <w:sz w:val="18"/>
              </w:rPr>
              <w:t>0.0682</w:t>
            </w:r>
          </w:p>
        </w:tc>
      </w:tr>
      <w:tr>
        <w:tc>
          <w:tcPr>
            <w:tcW w:type="dxa" w:w="794"/>
            <w:vAlign w:val="center"/>
          </w:tcPr>
          <w:p>
            <w:pPr>
              <w:jc w:val="center"/>
            </w:pPr>
            <w:r/>
            <w:r>
              <w:rPr>
                <w:rFonts w:ascii="宋体" w:hAnsi="宋体" w:eastAsia="宋体"/>
                <w:b w:val="0"/>
                <w:sz w:val="18"/>
              </w:rPr>
              <w:t>C212</w:t>
            </w:r>
          </w:p>
        </w:tc>
        <w:tc>
          <w:tcPr>
            <w:tcW w:type="dxa" w:w="1417"/>
            <w:vAlign w:val="center"/>
          </w:tcPr>
          <w:p>
            <w:pPr>
              <w:jc w:val="center"/>
            </w:pPr>
            <w:r/>
            <w:r>
              <w:rPr>
                <w:rFonts w:ascii="宋体" w:hAnsi="宋体" w:eastAsia="宋体"/>
                <w:b w:val="0"/>
                <w:sz w:val="18"/>
              </w:rPr>
              <w:t>平均修复时间</w:t>
            </w:r>
          </w:p>
        </w:tc>
        <w:tc>
          <w:tcPr>
            <w:tcW w:type="dxa" w:w="1020"/>
            <w:vAlign w:val="center"/>
          </w:tcPr>
          <w:p>
            <w:pPr>
              <w:jc w:val="center"/>
            </w:pPr>
            <w:r/>
            <w:r>
              <w:rPr>
                <w:rFonts w:ascii="宋体" w:hAnsi="宋体" w:eastAsia="宋体"/>
                <w:b w:val="0"/>
                <w:sz w:val="18"/>
              </w:rPr>
              <w:t>5h</w:t>
            </w:r>
          </w:p>
        </w:tc>
        <w:tc>
          <w:tcPr>
            <w:tcW w:type="dxa" w:w="1020"/>
            <w:vAlign w:val="center"/>
          </w:tcPr>
          <w:p>
            <w:pPr>
              <w:jc w:val="center"/>
            </w:pPr>
            <w:r/>
            <w:r>
              <w:rPr>
                <w:rFonts w:ascii="宋体" w:hAnsi="宋体" w:eastAsia="宋体"/>
                <w:b w:val="0"/>
                <w:sz w:val="18"/>
              </w:rPr>
              <w:t>0h</w:t>
            </w:r>
          </w:p>
        </w:tc>
        <w:tc>
          <w:tcPr>
            <w:tcW w:type="dxa" w:w="1247"/>
            <w:vAlign w:val="center"/>
          </w:tcPr>
          <w:p>
            <w:pPr>
              <w:jc w:val="center"/>
            </w:pPr>
            <w:r/>
            <w:r>
              <w:rPr>
                <w:rFonts w:ascii="宋体" w:hAnsi="宋体" w:eastAsia="宋体"/>
                <w:b w:val="0"/>
                <w:sz w:val="18"/>
              </w:rPr>
              <w:t>0.3</w:t>
            </w:r>
          </w:p>
        </w:tc>
        <w:tc>
          <w:tcPr>
            <w:tcW w:type="dxa" w:w="1020"/>
            <w:vAlign w:val="center"/>
          </w:tcPr>
          <w:p>
            <w:pPr>
              <w:jc w:val="center"/>
            </w:pPr>
            <w:r/>
            <w:r>
              <w:rPr>
                <w:rFonts w:ascii="宋体" w:hAnsi="宋体" w:eastAsia="宋体"/>
                <w:b w:val="0"/>
                <w:sz w:val="18"/>
              </w:rPr>
              <w:t>0.94</w:t>
            </w:r>
          </w:p>
        </w:tc>
        <w:tc>
          <w:tcPr>
            <w:tcW w:type="dxa" w:w="1020"/>
            <w:vAlign w:val="center"/>
          </w:tcPr>
          <w:p>
            <w:pPr>
              <w:jc w:val="center"/>
            </w:pPr>
            <w:r/>
            <w:r>
              <w:rPr>
                <w:rFonts w:ascii="宋体" w:hAnsi="宋体" w:eastAsia="宋体"/>
                <w:b w:val="0"/>
                <w:sz w:val="18"/>
              </w:rPr>
              <w:t>0.0464</w:t>
            </w:r>
          </w:p>
        </w:tc>
        <w:tc>
          <w:tcPr>
            <w:tcW w:type="dxa" w:w="1020"/>
            <w:vAlign w:val="center"/>
          </w:tcPr>
          <w:p>
            <w:pPr>
              <w:jc w:val="center"/>
            </w:pPr>
            <w:r/>
            <w:r>
              <w:rPr>
                <w:rFonts w:ascii="宋体" w:hAnsi="宋体" w:eastAsia="宋体"/>
                <w:b w:val="0"/>
                <w:sz w:val="18"/>
              </w:rPr>
              <w:t>0.0436</w:t>
            </w:r>
          </w:p>
        </w:tc>
      </w:tr>
      <w:tr>
        <w:tc>
          <w:tcPr>
            <w:tcW w:type="dxa" w:w="794"/>
            <w:vAlign w:val="center"/>
          </w:tcPr>
          <w:p>
            <w:pPr>
              <w:jc w:val="center"/>
            </w:pPr>
            <w:r/>
            <w:r>
              <w:rPr>
                <w:rFonts w:ascii="宋体" w:hAnsi="宋体" w:eastAsia="宋体"/>
                <w:b w:val="0"/>
                <w:sz w:val="18"/>
              </w:rPr>
              <w:t>C221</w:t>
            </w:r>
          </w:p>
        </w:tc>
        <w:tc>
          <w:tcPr>
            <w:tcW w:type="dxa" w:w="1417"/>
            <w:vAlign w:val="center"/>
          </w:tcPr>
          <w:p>
            <w:pPr>
              <w:jc w:val="center"/>
            </w:pPr>
            <w:r/>
            <w:r>
              <w:rPr>
                <w:rFonts w:ascii="宋体" w:hAnsi="宋体" w:eastAsia="宋体"/>
                <w:b w:val="0"/>
                <w:sz w:val="18"/>
              </w:rPr>
              <w:t>切削力波动度</w:t>
            </w:r>
          </w:p>
        </w:tc>
        <w:tc>
          <w:tcPr>
            <w:tcW w:type="dxa" w:w="1020"/>
            <w:vAlign w:val="center"/>
          </w:tcPr>
          <w:p>
            <w:pPr>
              <w:jc w:val="center"/>
            </w:pPr>
            <w:r/>
            <w:r>
              <w:rPr>
                <w:rFonts w:ascii="宋体" w:hAnsi="宋体" w:eastAsia="宋体"/>
                <w:b w:val="0"/>
                <w:sz w:val="18"/>
              </w:rPr>
              <w:t>0.20</w:t>
            </w:r>
          </w:p>
        </w:tc>
        <w:tc>
          <w:tcPr>
            <w:tcW w:type="dxa" w:w="1020"/>
            <w:vAlign w:val="center"/>
          </w:tcPr>
          <w:p>
            <w:pPr>
              <w:jc w:val="center"/>
            </w:pPr>
            <w:r/>
            <w:r>
              <w:rPr>
                <w:rFonts w:ascii="宋体" w:hAnsi="宋体" w:eastAsia="宋体"/>
                <w:b w:val="0"/>
                <w:sz w:val="18"/>
              </w:rPr>
              <w:t>0</w:t>
            </w:r>
          </w:p>
        </w:tc>
        <w:tc>
          <w:tcPr>
            <w:tcW w:type="dxa" w:w="1247"/>
            <w:vAlign w:val="center"/>
          </w:tcPr>
          <w:p>
            <w:pPr>
              <w:jc w:val="center"/>
            </w:pPr>
            <w:r/>
            <w:r>
              <w:rPr>
                <w:rFonts w:ascii="宋体" w:hAnsi="宋体" w:eastAsia="宋体"/>
                <w:b w:val="0"/>
                <w:sz w:val="18"/>
              </w:rPr>
              <w:t>0.03</w:t>
            </w:r>
          </w:p>
        </w:tc>
        <w:tc>
          <w:tcPr>
            <w:tcW w:type="dxa" w:w="1020"/>
            <w:vAlign w:val="center"/>
          </w:tcPr>
          <w:p>
            <w:pPr>
              <w:jc w:val="center"/>
            </w:pPr>
            <w:r/>
            <w:r>
              <w:rPr>
                <w:rFonts w:ascii="宋体" w:hAnsi="宋体" w:eastAsia="宋体"/>
                <w:b w:val="0"/>
                <w:sz w:val="18"/>
              </w:rPr>
              <w:t>0.85</w:t>
            </w:r>
          </w:p>
        </w:tc>
        <w:tc>
          <w:tcPr>
            <w:tcW w:type="dxa" w:w="1020"/>
            <w:vAlign w:val="center"/>
          </w:tcPr>
          <w:p>
            <w:pPr>
              <w:jc w:val="center"/>
            </w:pPr>
            <w:r/>
            <w:r>
              <w:rPr>
                <w:rFonts w:ascii="宋体" w:hAnsi="宋体" w:eastAsia="宋体"/>
                <w:b w:val="0"/>
                <w:sz w:val="18"/>
              </w:rPr>
              <w:t>0.0870</w:t>
            </w:r>
          </w:p>
        </w:tc>
        <w:tc>
          <w:tcPr>
            <w:tcW w:type="dxa" w:w="1020"/>
            <w:vAlign w:val="center"/>
          </w:tcPr>
          <w:p>
            <w:pPr>
              <w:jc w:val="center"/>
            </w:pPr>
            <w:r/>
            <w:r>
              <w:rPr>
                <w:rFonts w:ascii="宋体" w:hAnsi="宋体" w:eastAsia="宋体"/>
                <w:b w:val="0"/>
                <w:sz w:val="18"/>
              </w:rPr>
              <w:t>0.0740</w:t>
            </w:r>
          </w:p>
        </w:tc>
      </w:tr>
      <w:tr>
        <w:tc>
          <w:tcPr>
            <w:tcW w:type="dxa" w:w="794"/>
            <w:vAlign w:val="center"/>
          </w:tcPr>
          <w:p>
            <w:pPr>
              <w:jc w:val="center"/>
            </w:pPr>
            <w:r/>
            <w:r>
              <w:rPr>
                <w:rFonts w:ascii="宋体" w:hAnsi="宋体" w:eastAsia="宋体"/>
                <w:b w:val="0"/>
                <w:sz w:val="18"/>
              </w:rPr>
              <w:t>C222</w:t>
            </w:r>
          </w:p>
        </w:tc>
        <w:tc>
          <w:tcPr>
            <w:tcW w:type="dxa" w:w="1417"/>
            <w:vAlign w:val="center"/>
          </w:tcPr>
          <w:p>
            <w:pPr>
              <w:jc w:val="center"/>
            </w:pPr>
            <w:r/>
            <w:r>
              <w:rPr>
                <w:rFonts w:ascii="宋体" w:hAnsi="宋体" w:eastAsia="宋体"/>
                <w:b w:val="0"/>
                <w:sz w:val="18"/>
              </w:rPr>
              <w:t>夹持力波动度</w:t>
            </w:r>
          </w:p>
        </w:tc>
        <w:tc>
          <w:tcPr>
            <w:tcW w:type="dxa" w:w="1020"/>
            <w:vAlign w:val="center"/>
          </w:tcPr>
          <w:p>
            <w:pPr>
              <w:jc w:val="center"/>
            </w:pPr>
            <w:r/>
            <w:r>
              <w:rPr>
                <w:rFonts w:ascii="宋体" w:hAnsi="宋体" w:eastAsia="宋体"/>
                <w:b w:val="0"/>
                <w:sz w:val="18"/>
              </w:rPr>
              <w:t>0.30</w:t>
            </w:r>
          </w:p>
        </w:tc>
        <w:tc>
          <w:tcPr>
            <w:tcW w:type="dxa" w:w="1020"/>
            <w:vAlign w:val="center"/>
          </w:tcPr>
          <w:p>
            <w:pPr>
              <w:jc w:val="center"/>
            </w:pPr>
            <w:r/>
            <w:r>
              <w:rPr>
                <w:rFonts w:ascii="宋体" w:hAnsi="宋体" w:eastAsia="宋体"/>
                <w:b w:val="0"/>
                <w:sz w:val="18"/>
              </w:rPr>
              <w:t>0</w:t>
            </w:r>
          </w:p>
        </w:tc>
        <w:tc>
          <w:tcPr>
            <w:tcW w:type="dxa" w:w="1247"/>
            <w:vAlign w:val="center"/>
          </w:tcPr>
          <w:p>
            <w:pPr>
              <w:jc w:val="center"/>
            </w:pPr>
            <w:r/>
            <w:r>
              <w:rPr>
                <w:rFonts w:ascii="宋体" w:hAnsi="宋体" w:eastAsia="宋体"/>
                <w:b w:val="0"/>
                <w:sz w:val="18"/>
              </w:rPr>
              <w:t>0.05</w:t>
            </w:r>
          </w:p>
        </w:tc>
        <w:tc>
          <w:tcPr>
            <w:tcW w:type="dxa" w:w="1020"/>
            <w:vAlign w:val="center"/>
          </w:tcPr>
          <w:p>
            <w:pPr>
              <w:jc w:val="center"/>
            </w:pPr>
            <w:r/>
            <w:r>
              <w:rPr>
                <w:rFonts w:ascii="宋体" w:hAnsi="宋体" w:eastAsia="宋体"/>
                <w:b w:val="0"/>
                <w:sz w:val="18"/>
              </w:rPr>
              <w:t>0.83</w:t>
            </w:r>
          </w:p>
        </w:tc>
        <w:tc>
          <w:tcPr>
            <w:tcW w:type="dxa" w:w="1020"/>
            <w:vAlign w:val="center"/>
          </w:tcPr>
          <w:p>
            <w:pPr>
              <w:jc w:val="center"/>
            </w:pPr>
            <w:r/>
            <w:r>
              <w:rPr>
                <w:rFonts w:ascii="宋体" w:hAnsi="宋体" w:eastAsia="宋体"/>
                <w:b w:val="0"/>
                <w:sz w:val="18"/>
              </w:rPr>
              <w:t>0.0870</w:t>
            </w:r>
          </w:p>
        </w:tc>
        <w:tc>
          <w:tcPr>
            <w:tcW w:type="dxa" w:w="1020"/>
            <w:vAlign w:val="center"/>
          </w:tcPr>
          <w:p>
            <w:pPr>
              <w:jc w:val="center"/>
            </w:pPr>
            <w:r/>
            <w:r>
              <w:rPr>
                <w:rFonts w:ascii="宋体" w:hAnsi="宋体" w:eastAsia="宋体"/>
                <w:b w:val="0"/>
                <w:sz w:val="18"/>
              </w:rPr>
              <w:t>0.0722</w:t>
            </w:r>
          </w:p>
        </w:tc>
      </w:tr>
      <w:tr>
        <w:tc>
          <w:tcPr>
            <w:tcW w:type="dxa" w:w="794"/>
            <w:vAlign w:val="center"/>
          </w:tcPr>
          <w:p>
            <w:pPr>
              <w:jc w:val="center"/>
            </w:pPr>
            <w:r/>
            <w:r>
              <w:rPr>
                <w:rFonts w:ascii="宋体" w:hAnsi="宋体" w:eastAsia="宋体"/>
                <w:b w:val="0"/>
                <w:sz w:val="18"/>
              </w:rPr>
              <w:t>C311</w:t>
            </w:r>
          </w:p>
        </w:tc>
        <w:tc>
          <w:tcPr>
            <w:tcW w:type="dxa" w:w="1417"/>
            <w:vAlign w:val="center"/>
          </w:tcPr>
          <w:p>
            <w:pPr>
              <w:jc w:val="center"/>
            </w:pPr>
            <w:r/>
            <w:r>
              <w:rPr>
                <w:rFonts w:ascii="宋体" w:hAnsi="宋体" w:eastAsia="宋体"/>
                <w:b w:val="0"/>
                <w:sz w:val="18"/>
              </w:rPr>
              <w:t>合格率</w:t>
            </w:r>
          </w:p>
        </w:tc>
        <w:tc>
          <w:tcPr>
            <w:tcW w:type="dxa" w:w="1020"/>
            <w:vAlign w:val="center"/>
          </w:tcPr>
          <w:p>
            <w:pPr>
              <w:jc w:val="center"/>
            </w:pPr>
            <w:r/>
            <w:r>
              <w:rPr>
                <w:rFonts w:ascii="宋体" w:hAnsi="宋体" w:eastAsia="宋体"/>
                <w:b w:val="0"/>
                <w:sz w:val="18"/>
              </w:rPr>
              <w:t>0.92</w:t>
            </w:r>
          </w:p>
        </w:tc>
        <w:tc>
          <w:tcPr>
            <w:tcW w:type="dxa" w:w="1020"/>
            <w:vAlign w:val="center"/>
          </w:tcPr>
          <w:p>
            <w:pPr>
              <w:jc w:val="center"/>
            </w:pPr>
            <w:r/>
            <w:r>
              <w:rPr>
                <w:rFonts w:ascii="宋体" w:hAnsi="宋体" w:eastAsia="宋体"/>
                <w:b w:val="0"/>
                <w:sz w:val="18"/>
              </w:rPr>
              <w:t>1.00</w:t>
            </w:r>
          </w:p>
        </w:tc>
        <w:tc>
          <w:tcPr>
            <w:tcW w:type="dxa" w:w="1247"/>
            <w:vAlign w:val="center"/>
          </w:tcPr>
          <w:p>
            <w:pPr>
              <w:jc w:val="center"/>
            </w:pPr>
            <w:r/>
            <w:r>
              <w:rPr>
                <w:rFonts w:ascii="宋体" w:hAnsi="宋体" w:eastAsia="宋体"/>
                <w:b w:val="0"/>
                <w:sz w:val="18"/>
              </w:rPr>
              <w:t>0.98</w:t>
            </w:r>
          </w:p>
        </w:tc>
        <w:tc>
          <w:tcPr>
            <w:tcW w:type="dxa" w:w="1020"/>
            <w:vAlign w:val="center"/>
          </w:tcPr>
          <w:p>
            <w:pPr>
              <w:jc w:val="center"/>
            </w:pPr>
            <w:r/>
            <w:r>
              <w:rPr>
                <w:rFonts w:ascii="宋体" w:hAnsi="宋体" w:eastAsia="宋体"/>
                <w:b w:val="0"/>
                <w:sz w:val="18"/>
              </w:rPr>
              <w:t>0.75</w:t>
            </w:r>
          </w:p>
        </w:tc>
        <w:tc>
          <w:tcPr>
            <w:tcW w:type="dxa" w:w="1020"/>
            <w:vAlign w:val="center"/>
          </w:tcPr>
          <w:p>
            <w:pPr>
              <w:jc w:val="center"/>
            </w:pPr>
            <w:r/>
            <w:r>
              <w:rPr>
                <w:rFonts w:ascii="宋体" w:hAnsi="宋体" w:eastAsia="宋体"/>
                <w:b w:val="0"/>
                <w:sz w:val="18"/>
              </w:rPr>
              <w:t>0.0510</w:t>
            </w:r>
          </w:p>
        </w:tc>
        <w:tc>
          <w:tcPr>
            <w:tcW w:type="dxa" w:w="1020"/>
            <w:vAlign w:val="center"/>
          </w:tcPr>
          <w:p>
            <w:pPr>
              <w:jc w:val="center"/>
            </w:pPr>
            <w:r/>
            <w:r>
              <w:rPr>
                <w:rFonts w:ascii="宋体" w:hAnsi="宋体" w:eastAsia="宋体"/>
                <w:b w:val="0"/>
                <w:sz w:val="18"/>
              </w:rPr>
              <w:t>0.0383</w:t>
            </w:r>
          </w:p>
        </w:tc>
      </w:tr>
      <w:tr>
        <w:tc>
          <w:tcPr>
            <w:tcW w:type="dxa" w:w="794"/>
            <w:vAlign w:val="center"/>
          </w:tcPr>
          <w:p>
            <w:pPr>
              <w:jc w:val="center"/>
            </w:pPr>
            <w:r/>
            <w:r>
              <w:rPr>
                <w:rFonts w:ascii="宋体" w:hAnsi="宋体" w:eastAsia="宋体"/>
                <w:b w:val="0"/>
                <w:sz w:val="18"/>
              </w:rPr>
              <w:t>C321</w:t>
            </w:r>
          </w:p>
        </w:tc>
        <w:tc>
          <w:tcPr>
            <w:tcW w:type="dxa" w:w="1417"/>
            <w:vAlign w:val="center"/>
          </w:tcPr>
          <w:p>
            <w:pPr>
              <w:jc w:val="center"/>
            </w:pPr>
            <w:r/>
            <w:r>
              <w:rPr>
                <w:rFonts w:ascii="宋体" w:hAnsi="宋体" w:eastAsia="宋体"/>
                <w:b w:val="0"/>
                <w:sz w:val="18"/>
              </w:rPr>
              <w:t>表面粗糙度一致性</w:t>
            </w:r>
          </w:p>
        </w:tc>
        <w:tc>
          <w:tcPr>
            <w:tcW w:type="dxa" w:w="1020"/>
            <w:vAlign w:val="center"/>
          </w:tcPr>
          <w:p>
            <w:pPr>
              <w:jc w:val="center"/>
            </w:pPr>
            <w:r/>
            <w:r>
              <w:rPr>
                <w:rFonts w:ascii="宋体" w:hAnsi="宋体" w:eastAsia="宋体"/>
                <w:b w:val="0"/>
                <w:sz w:val="18"/>
              </w:rPr>
              <w:t>0.90</w:t>
            </w:r>
          </w:p>
        </w:tc>
        <w:tc>
          <w:tcPr>
            <w:tcW w:type="dxa" w:w="1020"/>
            <w:vAlign w:val="center"/>
          </w:tcPr>
          <w:p>
            <w:pPr>
              <w:jc w:val="center"/>
            </w:pPr>
            <w:r/>
            <w:r>
              <w:rPr>
                <w:rFonts w:ascii="宋体" w:hAnsi="宋体" w:eastAsia="宋体"/>
                <w:b w:val="0"/>
                <w:sz w:val="18"/>
              </w:rPr>
              <w:t>1.00</w:t>
            </w:r>
          </w:p>
        </w:tc>
        <w:tc>
          <w:tcPr>
            <w:tcW w:type="dxa" w:w="1247"/>
            <w:vAlign w:val="center"/>
          </w:tcPr>
          <w:p>
            <w:pPr>
              <w:jc w:val="center"/>
            </w:pPr>
            <w:r/>
            <w:r>
              <w:rPr>
                <w:rFonts w:ascii="宋体" w:hAnsi="宋体" w:eastAsia="宋体"/>
                <w:b w:val="0"/>
                <w:sz w:val="18"/>
              </w:rPr>
              <w:t>0.99</w:t>
            </w:r>
          </w:p>
        </w:tc>
        <w:tc>
          <w:tcPr>
            <w:tcW w:type="dxa" w:w="1020"/>
            <w:vAlign w:val="center"/>
          </w:tcPr>
          <w:p>
            <w:pPr>
              <w:jc w:val="center"/>
            </w:pPr>
            <w:r/>
            <w:r>
              <w:rPr>
                <w:rFonts w:ascii="宋体" w:hAnsi="宋体" w:eastAsia="宋体"/>
                <w:b w:val="0"/>
                <w:sz w:val="18"/>
              </w:rPr>
              <w:t>0.90</w:t>
            </w:r>
          </w:p>
        </w:tc>
        <w:tc>
          <w:tcPr>
            <w:tcW w:type="dxa" w:w="1020"/>
            <w:vAlign w:val="center"/>
          </w:tcPr>
          <w:p>
            <w:pPr>
              <w:jc w:val="center"/>
            </w:pPr>
            <w:r/>
            <w:r>
              <w:rPr>
                <w:rFonts w:ascii="宋体" w:hAnsi="宋体" w:eastAsia="宋体"/>
                <w:b w:val="0"/>
                <w:sz w:val="18"/>
              </w:rPr>
              <w:t>0.0476</w:t>
            </w:r>
          </w:p>
        </w:tc>
        <w:tc>
          <w:tcPr>
            <w:tcW w:type="dxa" w:w="1020"/>
            <w:vAlign w:val="center"/>
          </w:tcPr>
          <w:p>
            <w:pPr>
              <w:jc w:val="center"/>
            </w:pPr>
            <w:r/>
            <w:r>
              <w:rPr>
                <w:rFonts w:ascii="宋体" w:hAnsi="宋体" w:eastAsia="宋体"/>
                <w:b w:val="0"/>
                <w:sz w:val="18"/>
              </w:rPr>
              <w:t>0.0428</w:t>
            </w:r>
          </w:p>
        </w:tc>
      </w:tr>
      <w:tr>
        <w:tc>
          <w:tcPr>
            <w:tcW w:type="dxa" w:w="794"/>
            <w:vAlign w:val="center"/>
          </w:tcPr>
          <w:p>
            <w:pPr>
              <w:jc w:val="center"/>
            </w:pPr>
            <w:r/>
            <w:r>
              <w:rPr>
                <w:rFonts w:ascii="宋体" w:hAnsi="宋体" w:eastAsia="宋体"/>
                <w:b w:val="0"/>
                <w:sz w:val="18"/>
              </w:rPr>
              <w:t>C322</w:t>
            </w:r>
          </w:p>
        </w:tc>
        <w:tc>
          <w:tcPr>
            <w:tcW w:type="dxa" w:w="1417"/>
            <w:vAlign w:val="center"/>
          </w:tcPr>
          <w:p>
            <w:pPr>
              <w:jc w:val="center"/>
            </w:pPr>
            <w:r/>
            <w:r>
              <w:rPr>
                <w:rFonts w:ascii="宋体" w:hAnsi="宋体" w:eastAsia="宋体"/>
                <w:b w:val="0"/>
                <w:sz w:val="18"/>
              </w:rPr>
              <w:t>几何精度符合率</w:t>
            </w:r>
          </w:p>
        </w:tc>
        <w:tc>
          <w:tcPr>
            <w:tcW w:type="dxa" w:w="1020"/>
            <w:vAlign w:val="center"/>
          </w:tcPr>
          <w:p>
            <w:pPr>
              <w:jc w:val="center"/>
            </w:pPr>
            <w:r/>
            <w:r>
              <w:rPr>
                <w:rFonts w:ascii="宋体" w:hAnsi="宋体" w:eastAsia="宋体"/>
                <w:b w:val="0"/>
                <w:sz w:val="18"/>
              </w:rPr>
              <w:t>0.95</w:t>
            </w:r>
          </w:p>
        </w:tc>
        <w:tc>
          <w:tcPr>
            <w:tcW w:type="dxa" w:w="1020"/>
            <w:vAlign w:val="center"/>
          </w:tcPr>
          <w:p>
            <w:pPr>
              <w:jc w:val="center"/>
            </w:pPr>
            <w:r/>
            <w:r>
              <w:rPr>
                <w:rFonts w:ascii="宋体" w:hAnsi="宋体" w:eastAsia="宋体"/>
                <w:b w:val="0"/>
                <w:sz w:val="18"/>
              </w:rPr>
              <w:t>1.00</w:t>
            </w:r>
          </w:p>
        </w:tc>
        <w:tc>
          <w:tcPr>
            <w:tcW w:type="dxa" w:w="1247"/>
            <w:vAlign w:val="center"/>
          </w:tcPr>
          <w:p>
            <w:pPr>
              <w:jc w:val="center"/>
            </w:pPr>
            <w:r/>
            <w:r>
              <w:rPr>
                <w:rFonts w:ascii="宋体" w:hAnsi="宋体" w:eastAsia="宋体"/>
                <w:b w:val="0"/>
                <w:sz w:val="18"/>
              </w:rPr>
              <w:t>0.99</w:t>
            </w:r>
          </w:p>
        </w:tc>
        <w:tc>
          <w:tcPr>
            <w:tcW w:type="dxa" w:w="1020"/>
            <w:vAlign w:val="center"/>
          </w:tcPr>
          <w:p>
            <w:pPr>
              <w:jc w:val="center"/>
            </w:pPr>
            <w:r/>
            <w:r>
              <w:rPr>
                <w:rFonts w:ascii="宋体" w:hAnsi="宋体" w:eastAsia="宋体"/>
                <w:b w:val="0"/>
                <w:sz w:val="18"/>
              </w:rPr>
              <w:t>0.80</w:t>
            </w:r>
          </w:p>
        </w:tc>
        <w:tc>
          <w:tcPr>
            <w:tcW w:type="dxa" w:w="1020"/>
            <w:vAlign w:val="center"/>
          </w:tcPr>
          <w:p>
            <w:pPr>
              <w:jc w:val="center"/>
            </w:pPr>
            <w:r/>
            <w:r>
              <w:rPr>
                <w:rFonts w:ascii="宋体" w:hAnsi="宋体" w:eastAsia="宋体"/>
                <w:b w:val="0"/>
                <w:sz w:val="18"/>
              </w:rPr>
              <w:t>0.0357</w:t>
            </w:r>
          </w:p>
        </w:tc>
        <w:tc>
          <w:tcPr>
            <w:tcW w:type="dxa" w:w="1020"/>
            <w:vAlign w:val="center"/>
          </w:tcPr>
          <w:p>
            <w:pPr>
              <w:jc w:val="center"/>
            </w:pPr>
            <w:r/>
            <w:r>
              <w:rPr>
                <w:rFonts w:ascii="宋体" w:hAnsi="宋体" w:eastAsia="宋体"/>
                <w:b w:val="0"/>
                <w:sz w:val="18"/>
              </w:rPr>
              <w:t>0.0286</w:t>
            </w:r>
          </w:p>
        </w:tc>
      </w:tr>
      <w:tr>
        <w:tc>
          <w:tcPr>
            <w:tcW w:type="dxa" w:w="794"/>
            <w:vAlign w:val="center"/>
          </w:tcPr>
          <w:p>
            <w:pPr>
              <w:jc w:val="center"/>
            </w:pPr>
            <w:r/>
            <w:r>
              <w:rPr>
                <w:rFonts w:ascii="宋体" w:hAnsi="宋体" w:eastAsia="宋体"/>
                <w:b w:val="0"/>
                <w:sz w:val="18"/>
              </w:rPr>
              <w:t>C323</w:t>
            </w:r>
          </w:p>
        </w:tc>
        <w:tc>
          <w:tcPr>
            <w:tcW w:type="dxa" w:w="1417"/>
            <w:vAlign w:val="center"/>
          </w:tcPr>
          <w:p>
            <w:pPr>
              <w:jc w:val="center"/>
            </w:pPr>
            <w:r/>
            <w:r>
              <w:rPr>
                <w:rFonts w:ascii="宋体" w:hAnsi="宋体" w:eastAsia="宋体"/>
                <w:b w:val="0"/>
                <w:sz w:val="18"/>
              </w:rPr>
              <w:t>尺寸公差符合率</w:t>
            </w:r>
          </w:p>
        </w:tc>
        <w:tc>
          <w:tcPr>
            <w:tcW w:type="dxa" w:w="1020"/>
            <w:vAlign w:val="center"/>
          </w:tcPr>
          <w:p>
            <w:pPr>
              <w:jc w:val="center"/>
            </w:pPr>
            <w:r/>
            <w:r>
              <w:rPr>
                <w:rFonts w:ascii="宋体" w:hAnsi="宋体" w:eastAsia="宋体"/>
                <w:b w:val="0"/>
                <w:sz w:val="18"/>
              </w:rPr>
              <w:t>0.90</w:t>
            </w:r>
          </w:p>
        </w:tc>
        <w:tc>
          <w:tcPr>
            <w:tcW w:type="dxa" w:w="1020"/>
            <w:vAlign w:val="center"/>
          </w:tcPr>
          <w:p>
            <w:pPr>
              <w:jc w:val="center"/>
            </w:pPr>
            <w:r/>
            <w:r>
              <w:rPr>
                <w:rFonts w:ascii="宋体" w:hAnsi="宋体" w:eastAsia="宋体"/>
                <w:b w:val="0"/>
                <w:sz w:val="18"/>
              </w:rPr>
              <w:t>1.00</w:t>
            </w:r>
          </w:p>
        </w:tc>
        <w:tc>
          <w:tcPr>
            <w:tcW w:type="dxa" w:w="1247"/>
            <w:vAlign w:val="center"/>
          </w:tcPr>
          <w:p>
            <w:pPr>
              <w:jc w:val="center"/>
            </w:pPr>
            <w:r/>
            <w:r>
              <w:rPr>
                <w:rFonts w:ascii="宋体" w:hAnsi="宋体" w:eastAsia="宋体"/>
                <w:b w:val="0"/>
                <w:sz w:val="18"/>
              </w:rPr>
              <w:t>0.97</w:t>
            </w:r>
          </w:p>
        </w:tc>
        <w:tc>
          <w:tcPr>
            <w:tcW w:type="dxa" w:w="1020"/>
            <w:vAlign w:val="center"/>
          </w:tcPr>
          <w:p>
            <w:pPr>
              <w:jc w:val="center"/>
            </w:pPr>
            <w:r/>
            <w:r>
              <w:rPr>
                <w:rFonts w:ascii="宋体" w:hAnsi="宋体" w:eastAsia="宋体"/>
                <w:b w:val="0"/>
                <w:sz w:val="18"/>
              </w:rPr>
              <w:t>0.70</w:t>
            </w:r>
          </w:p>
        </w:tc>
        <w:tc>
          <w:tcPr>
            <w:tcW w:type="dxa" w:w="1020"/>
            <w:vAlign w:val="center"/>
          </w:tcPr>
          <w:p>
            <w:pPr>
              <w:jc w:val="center"/>
            </w:pPr>
            <w:r/>
            <w:r>
              <w:rPr>
                <w:rFonts w:ascii="宋体" w:hAnsi="宋体" w:eastAsia="宋体"/>
                <w:b w:val="0"/>
                <w:sz w:val="18"/>
              </w:rPr>
              <w:t>0.0357</w:t>
            </w:r>
          </w:p>
        </w:tc>
        <w:tc>
          <w:tcPr>
            <w:tcW w:type="dxa" w:w="1020"/>
            <w:vAlign w:val="center"/>
          </w:tcPr>
          <w:p>
            <w:pPr>
              <w:jc w:val="center"/>
            </w:pPr>
            <w:r/>
            <w:r>
              <w:rPr>
                <w:rFonts w:ascii="宋体" w:hAnsi="宋体" w:eastAsia="宋体"/>
                <w:b w:val="0"/>
                <w:sz w:val="18"/>
              </w:rPr>
              <w:t>0.0250</w:t>
            </w:r>
          </w:p>
        </w:tc>
      </w:tr>
    </w:tbl>
    <w:p>
      <w:pPr>
        <w:spacing w:line="300" w:lineRule="auto"/>
      </w:pPr>
      <w:r>
        <w:rPr>
          <w:rFonts w:ascii="宋体" w:hAnsi="宋体" w:eastAsia="宋体"/>
        </w:rPr>
        <w:t>把最后一列贡献相加：0.0713+0.0579+...+0.0250 = 0.7903，四舍五入后得到说明书案例综合评价结果 S=0.79。</w:t>
      </w:r>
    </w:p>
    <w:p>
      <w:pPr>
        <w:pStyle w:val="Heading1"/>
      </w:pPr>
      <w:r>
        <w:rPr>
          <w:rFonts w:ascii="黑体" w:hAnsi="黑体" w:eastAsia="黑体"/>
        </w:rPr>
        <w:t>4. 准则层得分如何理解</w:t>
      </w:r>
    </w:p>
    <w:tbl>
      <w:tblPr>
        <w:tblStyle w:val="TableGrid"/>
        <w:tblW w:type="auto" w:w="0"/>
        <w:jc w:val="center"/>
        <w:tblLook w:firstColumn="1" w:firstRow="1" w:lastColumn="0" w:lastRow="0" w:noHBand="0" w:noVBand="1" w:val="04A0"/>
      </w:tblPr>
      <w:tblGrid>
        <w:gridCol w:w="1994"/>
        <w:gridCol w:w="1994"/>
        <w:gridCol w:w="1994"/>
        <w:gridCol w:w="1994"/>
        <w:gridCol w:w="1994"/>
      </w:tblGrid>
      <w:tr>
        <w:tc>
          <w:tcPr>
            <w:tcW w:type="dxa" w:w="1361"/>
            <w:vAlign w:val="center"/>
            <w:shd w:fill="D9EAF7"/>
          </w:tcPr>
          <w:p>
            <w:pPr>
              <w:jc w:val="center"/>
            </w:pPr>
            <w:r/>
            <w:r>
              <w:rPr>
                <w:rFonts w:ascii="宋体" w:hAnsi="宋体" w:eastAsia="宋体"/>
                <w:b/>
                <w:sz w:val="18"/>
              </w:rPr>
              <w:t>准则层</w:t>
            </w:r>
          </w:p>
        </w:tc>
        <w:tc>
          <w:tcPr>
            <w:tcW w:type="dxa" w:w="907"/>
            <w:vAlign w:val="center"/>
            <w:shd w:fill="D9EAF7"/>
          </w:tcPr>
          <w:p>
            <w:pPr>
              <w:jc w:val="center"/>
            </w:pPr>
            <w:r/>
            <w:r>
              <w:rPr>
                <w:rFonts w:ascii="宋体" w:hAnsi="宋体" w:eastAsia="宋体"/>
                <w:b/>
                <w:sz w:val="18"/>
              </w:rPr>
              <w:t>准则权重</w:t>
            </w:r>
          </w:p>
        </w:tc>
        <w:tc>
          <w:tcPr>
            <w:tcW w:type="dxa" w:w="1247"/>
            <w:vAlign w:val="center"/>
            <w:shd w:fill="D9EAF7"/>
          </w:tcPr>
          <w:p>
            <w:pPr>
              <w:jc w:val="center"/>
            </w:pPr>
            <w:r/>
            <w:r>
              <w:rPr>
                <w:rFonts w:ascii="宋体" w:hAnsi="宋体" w:eastAsia="宋体"/>
                <w:b/>
                <w:sz w:val="18"/>
              </w:rPr>
              <w:t>对总分贡献</w:t>
            </w:r>
          </w:p>
        </w:tc>
        <w:tc>
          <w:tcPr>
            <w:tcW w:type="dxa" w:w="1701"/>
            <w:vAlign w:val="center"/>
            <w:shd w:fill="D9EAF7"/>
          </w:tcPr>
          <w:p>
            <w:pPr>
              <w:jc w:val="center"/>
            </w:pPr>
            <w:r/>
            <w:r>
              <w:rPr>
                <w:rFonts w:ascii="宋体" w:hAnsi="宋体" w:eastAsia="宋体"/>
                <w:b/>
                <w:sz w:val="18"/>
              </w:rPr>
              <w:t>准则层内部得分</w:t>
            </w:r>
          </w:p>
        </w:tc>
        <w:tc>
          <w:tcPr>
            <w:tcW w:type="dxa" w:w="3402"/>
            <w:vAlign w:val="center"/>
            <w:shd w:fill="D9EAF7"/>
          </w:tcPr>
          <w:p>
            <w:pPr>
              <w:jc w:val="center"/>
            </w:pPr>
            <w:r/>
            <w:r>
              <w:rPr>
                <w:rFonts w:ascii="宋体" w:hAnsi="宋体" w:eastAsia="宋体"/>
                <w:b/>
                <w:sz w:val="18"/>
              </w:rPr>
              <w:t>解释</w:t>
            </w:r>
          </w:p>
        </w:tc>
      </w:tr>
      <w:tr>
        <w:tc>
          <w:tcPr>
            <w:tcW w:type="dxa" w:w="1361"/>
            <w:vAlign w:val="center"/>
          </w:tcPr>
          <w:p>
            <w:pPr>
              <w:jc w:val="center"/>
            </w:pPr>
            <w:r/>
            <w:r>
              <w:rPr>
                <w:rFonts w:ascii="宋体" w:hAnsi="宋体" w:eastAsia="宋体"/>
                <w:b w:val="0"/>
                <w:sz w:val="18"/>
              </w:rPr>
              <w:t>B1 机床整机</w:t>
            </w:r>
          </w:p>
        </w:tc>
        <w:tc>
          <w:tcPr>
            <w:tcW w:type="dxa" w:w="907"/>
            <w:vAlign w:val="center"/>
          </w:tcPr>
          <w:p>
            <w:pPr>
              <w:jc w:val="center"/>
            </w:pPr>
            <w:r/>
            <w:r>
              <w:rPr>
                <w:rFonts w:ascii="宋体" w:hAnsi="宋体" w:eastAsia="宋体"/>
                <w:b w:val="0"/>
                <w:sz w:val="18"/>
              </w:rPr>
              <w:t>0.54</w:t>
            </w:r>
          </w:p>
        </w:tc>
        <w:tc>
          <w:tcPr>
            <w:tcW w:type="dxa" w:w="1247"/>
            <w:vAlign w:val="center"/>
          </w:tcPr>
          <w:p>
            <w:pPr>
              <w:jc w:val="center"/>
            </w:pPr>
            <w:r/>
            <w:r>
              <w:rPr>
                <w:rFonts w:ascii="宋体" w:hAnsi="宋体" w:eastAsia="宋体"/>
                <w:b w:val="0"/>
                <w:sz w:val="18"/>
              </w:rPr>
              <w:t>0.3976</w:t>
            </w:r>
          </w:p>
        </w:tc>
        <w:tc>
          <w:tcPr>
            <w:tcW w:type="dxa" w:w="1701"/>
            <w:vAlign w:val="center"/>
          </w:tcPr>
          <w:p>
            <w:pPr>
              <w:jc w:val="center"/>
            </w:pPr>
            <w:r/>
            <w:r>
              <w:rPr>
                <w:rFonts w:ascii="宋体" w:hAnsi="宋体" w:eastAsia="宋体"/>
                <w:b w:val="0"/>
                <w:sz w:val="18"/>
              </w:rPr>
              <w:t>0.3976 / 0.54 = 0.7364</w:t>
            </w:r>
          </w:p>
        </w:tc>
        <w:tc>
          <w:tcPr>
            <w:tcW w:type="dxa" w:w="3402"/>
            <w:vAlign w:val="center"/>
          </w:tcPr>
          <w:p>
            <w:pPr>
              <w:jc w:val="center"/>
            </w:pPr>
            <w:r/>
            <w:r>
              <w:rPr>
                <w:rFonts w:ascii="宋体" w:hAnsi="宋体" w:eastAsia="宋体"/>
                <w:b w:val="0"/>
                <w:sz w:val="18"/>
              </w:rPr>
              <w:t>整机本体受精度退化率、刚度退化率等影响较明显</w:t>
            </w:r>
          </w:p>
        </w:tc>
      </w:tr>
      <w:tr>
        <w:tc>
          <w:tcPr>
            <w:tcW w:type="dxa" w:w="1361"/>
            <w:vAlign w:val="center"/>
          </w:tcPr>
          <w:p>
            <w:pPr>
              <w:jc w:val="center"/>
            </w:pPr>
            <w:r/>
            <w:r>
              <w:rPr>
                <w:rFonts w:ascii="宋体" w:hAnsi="宋体" w:eastAsia="宋体"/>
                <w:b w:val="0"/>
                <w:sz w:val="18"/>
              </w:rPr>
              <w:t>B2 辅助部分</w:t>
            </w:r>
          </w:p>
        </w:tc>
        <w:tc>
          <w:tcPr>
            <w:tcW w:type="dxa" w:w="907"/>
            <w:vAlign w:val="center"/>
          </w:tcPr>
          <w:p>
            <w:pPr>
              <w:jc w:val="center"/>
            </w:pPr>
            <w:r/>
            <w:r>
              <w:rPr>
                <w:rFonts w:ascii="宋体" w:hAnsi="宋体" w:eastAsia="宋体"/>
                <w:b w:val="0"/>
                <w:sz w:val="18"/>
              </w:rPr>
              <w:t>0.29</w:t>
            </w:r>
          </w:p>
        </w:tc>
        <w:tc>
          <w:tcPr>
            <w:tcW w:type="dxa" w:w="1247"/>
            <w:vAlign w:val="center"/>
          </w:tcPr>
          <w:p>
            <w:pPr>
              <w:jc w:val="center"/>
            </w:pPr>
            <w:r/>
            <w:r>
              <w:rPr>
                <w:rFonts w:ascii="宋体" w:hAnsi="宋体" w:eastAsia="宋体"/>
                <w:b w:val="0"/>
                <w:sz w:val="18"/>
              </w:rPr>
              <w:t>0.2580</w:t>
            </w:r>
          </w:p>
        </w:tc>
        <w:tc>
          <w:tcPr>
            <w:tcW w:type="dxa" w:w="1701"/>
            <w:vAlign w:val="center"/>
          </w:tcPr>
          <w:p>
            <w:pPr>
              <w:jc w:val="center"/>
            </w:pPr>
            <w:r/>
            <w:r>
              <w:rPr>
                <w:rFonts w:ascii="宋体" w:hAnsi="宋体" w:eastAsia="宋体"/>
                <w:b w:val="0"/>
                <w:sz w:val="18"/>
              </w:rPr>
              <w:t>0.2580 / 0.29 = 0.8896</w:t>
            </w:r>
          </w:p>
        </w:tc>
        <w:tc>
          <w:tcPr>
            <w:tcW w:type="dxa" w:w="3402"/>
            <w:vAlign w:val="center"/>
          </w:tcPr>
          <w:p>
            <w:pPr>
              <w:jc w:val="center"/>
            </w:pPr>
            <w:r/>
            <w:r>
              <w:rPr>
                <w:rFonts w:ascii="宋体" w:hAnsi="宋体" w:eastAsia="宋体"/>
                <w:b w:val="0"/>
                <w:sz w:val="18"/>
              </w:rPr>
              <w:t>辅助部分在案例中表现较好，失效率和维修时间归一化值较高</w:t>
            </w:r>
          </w:p>
        </w:tc>
      </w:tr>
      <w:tr>
        <w:tc>
          <w:tcPr>
            <w:tcW w:type="dxa" w:w="1361"/>
            <w:vAlign w:val="center"/>
          </w:tcPr>
          <w:p>
            <w:pPr>
              <w:jc w:val="center"/>
            </w:pPr>
            <w:r/>
            <w:r>
              <w:rPr>
                <w:rFonts w:ascii="宋体" w:hAnsi="宋体" w:eastAsia="宋体"/>
                <w:b w:val="0"/>
                <w:sz w:val="18"/>
              </w:rPr>
              <w:t>B3 制品</w:t>
            </w:r>
          </w:p>
        </w:tc>
        <w:tc>
          <w:tcPr>
            <w:tcW w:type="dxa" w:w="907"/>
            <w:vAlign w:val="center"/>
          </w:tcPr>
          <w:p>
            <w:pPr>
              <w:jc w:val="center"/>
            </w:pPr>
            <w:r/>
            <w:r>
              <w:rPr>
                <w:rFonts w:ascii="宋体" w:hAnsi="宋体" w:eastAsia="宋体"/>
                <w:b w:val="0"/>
                <w:sz w:val="18"/>
              </w:rPr>
              <w:t>0.17</w:t>
            </w:r>
          </w:p>
        </w:tc>
        <w:tc>
          <w:tcPr>
            <w:tcW w:type="dxa" w:w="1247"/>
            <w:vAlign w:val="center"/>
          </w:tcPr>
          <w:p>
            <w:pPr>
              <w:jc w:val="center"/>
            </w:pPr>
            <w:r/>
            <w:r>
              <w:rPr>
                <w:rFonts w:ascii="宋体" w:hAnsi="宋体" w:eastAsia="宋体"/>
                <w:b w:val="0"/>
                <w:sz w:val="18"/>
              </w:rPr>
              <w:t>0.1346</w:t>
            </w:r>
          </w:p>
        </w:tc>
        <w:tc>
          <w:tcPr>
            <w:tcW w:type="dxa" w:w="1701"/>
            <w:vAlign w:val="center"/>
          </w:tcPr>
          <w:p>
            <w:pPr>
              <w:jc w:val="center"/>
            </w:pPr>
            <w:r/>
            <w:r>
              <w:rPr>
                <w:rFonts w:ascii="宋体" w:hAnsi="宋体" w:eastAsia="宋体"/>
                <w:b w:val="0"/>
                <w:sz w:val="18"/>
              </w:rPr>
              <w:t>0.1346 / 0.17 = 0.7920</w:t>
            </w:r>
          </w:p>
        </w:tc>
        <w:tc>
          <w:tcPr>
            <w:tcW w:type="dxa" w:w="3402"/>
            <w:vAlign w:val="center"/>
          </w:tcPr>
          <w:p>
            <w:pPr>
              <w:jc w:val="center"/>
            </w:pPr>
            <w:r/>
            <w:r>
              <w:rPr>
                <w:rFonts w:ascii="宋体" w:hAnsi="宋体" w:eastAsia="宋体"/>
                <w:b w:val="0"/>
                <w:sz w:val="18"/>
              </w:rPr>
              <w:t>制品侧整体中等，尺寸公差符合率是较弱项</w:t>
            </w:r>
          </w:p>
        </w:tc>
      </w:tr>
    </w:tbl>
    <w:p>
      <w:pPr>
        <w:spacing w:line="300" w:lineRule="auto"/>
      </w:pPr>
      <w:r>
        <w:rPr>
          <w:rFonts w:ascii="宋体" w:hAnsi="宋体" w:eastAsia="宋体"/>
        </w:rPr>
        <w:t>讲解时可以这样说：总分不是三个准则层简单平均，而是按说明书权重汇总。B1权重最大，为0.54，因此整机本体的故障和性能退化对总分影响最大。</w:t>
      </w:r>
    </w:p>
    <w:p>
      <w:pPr>
        <w:pStyle w:val="Heading1"/>
      </w:pPr>
      <w:r>
        <w:rPr>
          <w:rFonts w:ascii="黑体" w:hAnsi="黑体" w:eastAsia="黑体"/>
        </w:rPr>
        <w:t>5. 软件真实运行时，每个指标从哪里取数</w:t>
      </w:r>
    </w:p>
    <w:tbl>
      <w:tblPr>
        <w:tblStyle w:val="TableGrid"/>
        <w:tblW w:type="auto" w:w="0"/>
        <w:jc w:val="center"/>
        <w:tblLook w:firstColumn="1" w:firstRow="1" w:lastColumn="0" w:lastRow="0" w:noHBand="0" w:noVBand="1" w:val="04A0"/>
      </w:tblPr>
      <w:tblGrid>
        <w:gridCol w:w="3324"/>
        <w:gridCol w:w="3324"/>
        <w:gridCol w:w="3324"/>
      </w:tblGrid>
      <w:tr>
        <w:tc>
          <w:tcPr>
            <w:tcW w:type="dxa" w:w="1701"/>
            <w:vAlign w:val="center"/>
            <w:shd w:fill="D9EAF7"/>
          </w:tcPr>
          <w:p>
            <w:pPr>
              <w:jc w:val="center"/>
            </w:pPr>
            <w:r/>
            <w:r>
              <w:rPr>
                <w:rFonts w:ascii="宋体" w:hAnsi="宋体" w:eastAsia="宋体"/>
                <w:b/>
                <w:sz w:val="18"/>
              </w:rPr>
              <w:t>指标</w:t>
            </w:r>
          </w:p>
        </w:tc>
        <w:tc>
          <w:tcPr>
            <w:tcW w:type="dxa" w:w="2721"/>
            <w:vAlign w:val="center"/>
            <w:shd w:fill="D9EAF7"/>
          </w:tcPr>
          <w:p>
            <w:pPr>
              <w:jc w:val="center"/>
            </w:pPr>
            <w:r/>
            <w:r>
              <w:rPr>
                <w:rFonts w:ascii="宋体" w:hAnsi="宋体" w:eastAsia="宋体"/>
                <w:b/>
                <w:sz w:val="18"/>
              </w:rPr>
              <w:t>软件取数位置</w:t>
            </w:r>
          </w:p>
        </w:tc>
        <w:tc>
          <w:tcPr>
            <w:tcW w:type="dxa" w:w="4649"/>
            <w:vAlign w:val="center"/>
            <w:shd w:fill="D9EAF7"/>
          </w:tcPr>
          <w:p>
            <w:pPr>
              <w:jc w:val="center"/>
            </w:pPr>
            <w:r/>
            <w:r>
              <w:rPr>
                <w:rFonts w:ascii="宋体" w:hAnsi="宋体" w:eastAsia="宋体"/>
                <w:b/>
                <w:sz w:val="18"/>
              </w:rPr>
              <w:t>进入公式后的处理</w:t>
            </w:r>
          </w:p>
        </w:tc>
      </w:tr>
      <w:tr>
        <w:tc>
          <w:tcPr>
            <w:tcW w:type="dxa" w:w="1701"/>
            <w:vAlign w:val="center"/>
          </w:tcPr>
          <w:p>
            <w:pPr>
              <w:jc w:val="center"/>
            </w:pPr>
            <w:r/>
            <w:r>
              <w:rPr>
                <w:rFonts w:ascii="宋体" w:hAnsi="宋体" w:eastAsia="宋体"/>
                <w:b w:val="0"/>
                <w:sz w:val="18"/>
              </w:rPr>
              <w:t>C111 可靠度</w:t>
            </w:r>
          </w:p>
        </w:tc>
        <w:tc>
          <w:tcPr>
            <w:tcW w:type="dxa" w:w="2721"/>
            <w:vAlign w:val="center"/>
          </w:tcPr>
          <w:p>
            <w:pPr>
              <w:jc w:val="center"/>
            </w:pPr>
            <w:r/>
            <w:r>
              <w:rPr>
                <w:rFonts w:ascii="宋体" w:hAnsi="宋体" w:eastAsia="宋体"/>
                <w:b w:val="0"/>
                <w:sz w:val="18"/>
              </w:rPr>
              <w:t>故障记录 + 观察期 + 每日工作时段</w:t>
            </w:r>
          </w:p>
        </w:tc>
        <w:tc>
          <w:tcPr>
            <w:tcW w:type="dxa" w:w="4649"/>
            <w:vAlign w:val="center"/>
          </w:tcPr>
          <w:p>
            <w:pPr>
              <w:jc w:val="center"/>
            </w:pPr>
            <w:r/>
            <w:r>
              <w:rPr>
                <w:rFonts w:ascii="宋体" w:hAnsi="宋体" w:eastAsia="宋体"/>
                <w:b w:val="0"/>
                <w:sz w:val="18"/>
              </w:rPr>
              <w:t>先算观察期累计运行小时，再以故障次数得到MTBF，最后 R(t)=e^(-λt)，λ=1/MTBF</w:t>
            </w:r>
          </w:p>
        </w:tc>
      </w:tr>
      <w:tr>
        <w:tc>
          <w:tcPr>
            <w:tcW w:type="dxa" w:w="1701"/>
            <w:vAlign w:val="center"/>
          </w:tcPr>
          <w:p>
            <w:pPr>
              <w:jc w:val="center"/>
            </w:pPr>
            <w:r/>
            <w:r>
              <w:rPr>
                <w:rFonts w:ascii="宋体" w:hAnsi="宋体" w:eastAsia="宋体"/>
                <w:b w:val="0"/>
                <w:sz w:val="18"/>
              </w:rPr>
              <w:t>C112 可用度</w:t>
            </w:r>
          </w:p>
        </w:tc>
        <w:tc>
          <w:tcPr>
            <w:tcW w:type="dxa" w:w="2721"/>
            <w:vAlign w:val="center"/>
          </w:tcPr>
          <w:p>
            <w:pPr>
              <w:jc w:val="center"/>
            </w:pPr>
            <w:r/>
            <w:r>
              <w:rPr>
                <w:rFonts w:ascii="宋体" w:hAnsi="宋体" w:eastAsia="宋体"/>
                <w:b w:val="0"/>
                <w:sz w:val="18"/>
              </w:rPr>
              <w:t>故障记录中的维修开始/结束时间</w:t>
            </w:r>
          </w:p>
        </w:tc>
        <w:tc>
          <w:tcPr>
            <w:tcW w:type="dxa" w:w="4649"/>
            <w:vAlign w:val="center"/>
          </w:tcPr>
          <w:p>
            <w:pPr>
              <w:jc w:val="center"/>
            </w:pPr>
            <w:r/>
            <w:r>
              <w:rPr>
                <w:rFonts w:ascii="宋体" w:hAnsi="宋体" w:eastAsia="宋体"/>
                <w:b w:val="0"/>
                <w:sz w:val="18"/>
              </w:rPr>
              <w:t>计算MTTR，A=MTBF/(MTBF+MTTR)</w:t>
            </w:r>
          </w:p>
        </w:tc>
      </w:tr>
      <w:tr>
        <w:tc>
          <w:tcPr>
            <w:tcW w:type="dxa" w:w="1701"/>
            <w:vAlign w:val="center"/>
          </w:tcPr>
          <w:p>
            <w:pPr>
              <w:jc w:val="center"/>
            </w:pPr>
            <w:r/>
            <w:r>
              <w:rPr>
                <w:rFonts w:ascii="宋体" w:hAnsi="宋体" w:eastAsia="宋体"/>
                <w:b w:val="0"/>
                <w:sz w:val="18"/>
              </w:rPr>
              <w:t>C121 精度波动度</w:t>
            </w:r>
          </w:p>
        </w:tc>
        <w:tc>
          <w:tcPr>
            <w:tcW w:type="dxa" w:w="2721"/>
            <w:vAlign w:val="center"/>
          </w:tcPr>
          <w:p>
            <w:pPr>
              <w:jc w:val="center"/>
            </w:pPr>
            <w:r/>
            <w:r>
              <w:rPr>
                <w:rFonts w:ascii="宋体" w:hAnsi="宋体" w:eastAsia="宋体"/>
                <w:b w:val="0"/>
                <w:sz w:val="18"/>
              </w:rPr>
              <w:t>退化记录中标记为precision的精度类指标</w:t>
            </w:r>
          </w:p>
        </w:tc>
        <w:tc>
          <w:tcPr>
            <w:tcW w:type="dxa" w:w="4649"/>
            <w:vAlign w:val="center"/>
          </w:tcPr>
          <w:p>
            <w:pPr>
              <w:jc w:val="center"/>
            </w:pPr>
            <w:r/>
            <w:r>
              <w:rPr>
                <w:rFonts w:ascii="宋体" w:hAnsi="宋体" w:eastAsia="宋体"/>
                <w:b w:val="0"/>
                <w:sz w:val="18"/>
              </w:rPr>
              <w:t>计算相邻测点变化量相对均值的平均波动</w:t>
            </w:r>
          </w:p>
        </w:tc>
      </w:tr>
      <w:tr>
        <w:tc>
          <w:tcPr>
            <w:tcW w:type="dxa" w:w="1701"/>
            <w:vAlign w:val="center"/>
          </w:tcPr>
          <w:p>
            <w:pPr>
              <w:jc w:val="center"/>
            </w:pPr>
            <w:r/>
            <w:r>
              <w:rPr>
                <w:rFonts w:ascii="宋体" w:hAnsi="宋体" w:eastAsia="宋体"/>
                <w:b w:val="0"/>
                <w:sz w:val="18"/>
              </w:rPr>
              <w:t>C122 精度退化率</w:t>
            </w:r>
          </w:p>
        </w:tc>
        <w:tc>
          <w:tcPr>
            <w:tcW w:type="dxa" w:w="2721"/>
            <w:vAlign w:val="center"/>
          </w:tcPr>
          <w:p>
            <w:pPr>
              <w:jc w:val="center"/>
            </w:pPr>
            <w:r/>
            <w:r>
              <w:rPr>
                <w:rFonts w:ascii="宋体" w:hAnsi="宋体" w:eastAsia="宋体"/>
                <w:b w:val="0"/>
                <w:sz w:val="18"/>
              </w:rPr>
              <w:t>精度类退化记录的首末值</w:t>
            </w:r>
          </w:p>
        </w:tc>
        <w:tc>
          <w:tcPr>
            <w:tcW w:type="dxa" w:w="4649"/>
            <w:vAlign w:val="center"/>
          </w:tcPr>
          <w:p>
            <w:pPr>
              <w:jc w:val="center"/>
            </w:pPr>
            <w:r/>
            <w:r>
              <w:rPr>
                <w:rFonts w:ascii="宋体" w:hAnsi="宋体" w:eastAsia="宋体"/>
                <w:b w:val="0"/>
                <w:sz w:val="18"/>
              </w:rPr>
              <w:t>A(t)=(φt-φ0)/φ0</w:t>
            </w:r>
          </w:p>
        </w:tc>
      </w:tr>
      <w:tr>
        <w:tc>
          <w:tcPr>
            <w:tcW w:type="dxa" w:w="1701"/>
            <w:vAlign w:val="center"/>
          </w:tcPr>
          <w:p>
            <w:pPr>
              <w:jc w:val="center"/>
            </w:pPr>
            <w:r/>
            <w:r>
              <w:rPr>
                <w:rFonts w:ascii="宋体" w:hAnsi="宋体" w:eastAsia="宋体"/>
                <w:b w:val="0"/>
                <w:sz w:val="18"/>
              </w:rPr>
              <w:t>C123 刚度退化率</w:t>
            </w:r>
          </w:p>
        </w:tc>
        <w:tc>
          <w:tcPr>
            <w:tcW w:type="dxa" w:w="2721"/>
            <w:vAlign w:val="center"/>
          </w:tcPr>
          <w:p>
            <w:pPr>
              <w:jc w:val="center"/>
            </w:pPr>
            <w:r/>
            <w:r>
              <w:rPr>
                <w:rFonts w:ascii="宋体" w:hAnsi="宋体" w:eastAsia="宋体"/>
                <w:b w:val="0"/>
                <w:sz w:val="18"/>
              </w:rPr>
              <w:t>退化记录中标记为stiffness的刚度类指标</w:t>
            </w:r>
          </w:p>
        </w:tc>
        <w:tc>
          <w:tcPr>
            <w:tcW w:type="dxa" w:w="4649"/>
            <w:vAlign w:val="center"/>
          </w:tcPr>
          <w:p>
            <w:pPr>
              <w:jc w:val="center"/>
            </w:pPr>
            <w:r/>
            <w:r>
              <w:rPr>
                <w:rFonts w:ascii="宋体" w:hAnsi="宋体" w:eastAsia="宋体"/>
                <w:b w:val="0"/>
                <w:sz w:val="18"/>
              </w:rPr>
              <w:t>Dk=(K0-Kt)/K0</w:t>
            </w:r>
          </w:p>
        </w:tc>
      </w:tr>
      <w:tr>
        <w:tc>
          <w:tcPr>
            <w:tcW w:type="dxa" w:w="1701"/>
            <w:vAlign w:val="center"/>
          </w:tcPr>
          <w:p>
            <w:pPr>
              <w:jc w:val="center"/>
            </w:pPr>
            <w:r/>
            <w:r>
              <w:rPr>
                <w:rFonts w:ascii="宋体" w:hAnsi="宋体" w:eastAsia="宋体"/>
                <w:b w:val="0"/>
                <w:sz w:val="18"/>
              </w:rPr>
              <w:t>C211 失效率</w:t>
            </w:r>
          </w:p>
        </w:tc>
        <w:tc>
          <w:tcPr>
            <w:tcW w:type="dxa" w:w="2721"/>
            <w:vAlign w:val="center"/>
          </w:tcPr>
          <w:p>
            <w:pPr>
              <w:jc w:val="center"/>
            </w:pPr>
            <w:r/>
            <w:r>
              <w:rPr>
                <w:rFonts w:ascii="宋体" w:hAnsi="宋体" w:eastAsia="宋体"/>
                <w:b w:val="0"/>
                <w:sz w:val="18"/>
              </w:rPr>
              <w:t>辅助部件故障记录</w:t>
            </w:r>
          </w:p>
        </w:tc>
        <w:tc>
          <w:tcPr>
            <w:tcW w:type="dxa" w:w="4649"/>
            <w:vAlign w:val="center"/>
          </w:tcPr>
          <w:p>
            <w:pPr>
              <w:jc w:val="center"/>
            </w:pPr>
            <w:r/>
            <w:r>
              <w:rPr>
                <w:rFonts w:ascii="宋体" w:hAnsi="宋体" w:eastAsia="宋体"/>
                <w:b w:val="0"/>
                <w:sz w:val="18"/>
              </w:rPr>
              <w:t>通过辅助单元寿命间隔拟合F(t)，再算 λ(t)=f(t)/(1-F(t))</w:t>
            </w:r>
          </w:p>
        </w:tc>
      </w:tr>
      <w:tr>
        <w:tc>
          <w:tcPr>
            <w:tcW w:type="dxa" w:w="1701"/>
            <w:vAlign w:val="center"/>
          </w:tcPr>
          <w:p>
            <w:pPr>
              <w:jc w:val="center"/>
            </w:pPr>
            <w:r/>
            <w:r>
              <w:rPr>
                <w:rFonts w:ascii="宋体" w:hAnsi="宋体" w:eastAsia="宋体"/>
                <w:b w:val="0"/>
                <w:sz w:val="18"/>
              </w:rPr>
              <w:t>C212 平均修复时间</w:t>
            </w:r>
          </w:p>
        </w:tc>
        <w:tc>
          <w:tcPr>
            <w:tcW w:type="dxa" w:w="2721"/>
            <w:vAlign w:val="center"/>
          </w:tcPr>
          <w:p>
            <w:pPr>
              <w:jc w:val="center"/>
            </w:pPr>
            <w:r/>
            <w:r>
              <w:rPr>
                <w:rFonts w:ascii="宋体" w:hAnsi="宋体" w:eastAsia="宋体"/>
                <w:b w:val="0"/>
                <w:sz w:val="18"/>
              </w:rPr>
              <w:t>辅助部件维修开始/结束时间</w:t>
            </w:r>
          </w:p>
        </w:tc>
        <w:tc>
          <w:tcPr>
            <w:tcW w:type="dxa" w:w="4649"/>
            <w:vAlign w:val="center"/>
          </w:tcPr>
          <w:p>
            <w:pPr>
              <w:jc w:val="center"/>
            </w:pPr>
            <w:r/>
            <w:r>
              <w:rPr>
                <w:rFonts w:ascii="宋体" w:hAnsi="宋体" w:eastAsia="宋体"/>
                <w:b w:val="0"/>
                <w:sz w:val="18"/>
              </w:rPr>
              <w:t>MTTR=(1/N)Σti</w:t>
            </w:r>
          </w:p>
        </w:tc>
      </w:tr>
      <w:tr>
        <w:tc>
          <w:tcPr>
            <w:tcW w:type="dxa" w:w="1701"/>
            <w:vAlign w:val="center"/>
          </w:tcPr>
          <w:p>
            <w:pPr>
              <w:jc w:val="center"/>
            </w:pPr>
            <w:r/>
            <w:r>
              <w:rPr>
                <w:rFonts w:ascii="宋体" w:hAnsi="宋体" w:eastAsia="宋体"/>
                <w:b w:val="0"/>
                <w:sz w:val="18"/>
              </w:rPr>
              <w:t>C221 切削力波动度</w:t>
            </w:r>
          </w:p>
        </w:tc>
        <w:tc>
          <w:tcPr>
            <w:tcW w:type="dxa" w:w="2721"/>
            <w:vAlign w:val="center"/>
          </w:tcPr>
          <w:p>
            <w:pPr>
              <w:jc w:val="center"/>
            </w:pPr>
            <w:r/>
            <w:r>
              <w:rPr>
                <w:rFonts w:ascii="宋体" w:hAnsi="宋体" w:eastAsia="宋体"/>
                <w:b w:val="0"/>
                <w:sz w:val="18"/>
              </w:rPr>
              <w:t>退化/过程记录中标记为cutting_force的数据</w:t>
            </w:r>
          </w:p>
        </w:tc>
        <w:tc>
          <w:tcPr>
            <w:tcW w:type="dxa" w:w="4649"/>
            <w:vAlign w:val="center"/>
          </w:tcPr>
          <w:p>
            <w:pPr>
              <w:jc w:val="center"/>
            </w:pPr>
            <w:r/>
            <w:r>
              <w:rPr>
                <w:rFonts w:ascii="宋体" w:hAnsi="宋体" w:eastAsia="宋体"/>
                <w:b w:val="0"/>
                <w:sz w:val="18"/>
              </w:rPr>
              <w:t>标准差/均值，即变异系数CV</w:t>
            </w:r>
          </w:p>
        </w:tc>
      </w:tr>
      <w:tr>
        <w:tc>
          <w:tcPr>
            <w:tcW w:type="dxa" w:w="1701"/>
            <w:vAlign w:val="center"/>
          </w:tcPr>
          <w:p>
            <w:pPr>
              <w:jc w:val="center"/>
            </w:pPr>
            <w:r/>
            <w:r>
              <w:rPr>
                <w:rFonts w:ascii="宋体" w:hAnsi="宋体" w:eastAsia="宋体"/>
                <w:b w:val="0"/>
                <w:sz w:val="18"/>
              </w:rPr>
              <w:t>C222 夹持力波动度</w:t>
            </w:r>
          </w:p>
        </w:tc>
        <w:tc>
          <w:tcPr>
            <w:tcW w:type="dxa" w:w="2721"/>
            <w:vAlign w:val="center"/>
          </w:tcPr>
          <w:p>
            <w:pPr>
              <w:jc w:val="center"/>
            </w:pPr>
            <w:r/>
            <w:r>
              <w:rPr>
                <w:rFonts w:ascii="宋体" w:hAnsi="宋体" w:eastAsia="宋体"/>
                <w:b w:val="0"/>
                <w:sz w:val="18"/>
              </w:rPr>
              <w:t>退化/过程记录中标记为clamping_force的数据</w:t>
            </w:r>
          </w:p>
        </w:tc>
        <w:tc>
          <w:tcPr>
            <w:tcW w:type="dxa" w:w="4649"/>
            <w:vAlign w:val="center"/>
          </w:tcPr>
          <w:p>
            <w:pPr>
              <w:jc w:val="center"/>
            </w:pPr>
            <w:r/>
            <w:r>
              <w:rPr>
                <w:rFonts w:ascii="宋体" w:hAnsi="宋体" w:eastAsia="宋体"/>
                <w:b w:val="0"/>
                <w:sz w:val="18"/>
              </w:rPr>
              <w:t>标准差/均值，即变异系数CV</w:t>
            </w:r>
          </w:p>
        </w:tc>
      </w:tr>
      <w:tr>
        <w:tc>
          <w:tcPr>
            <w:tcW w:type="dxa" w:w="1701"/>
            <w:vAlign w:val="center"/>
          </w:tcPr>
          <w:p>
            <w:pPr>
              <w:jc w:val="center"/>
            </w:pPr>
            <w:r/>
            <w:r>
              <w:rPr>
                <w:rFonts w:ascii="宋体" w:hAnsi="宋体" w:eastAsia="宋体"/>
                <w:b w:val="0"/>
                <w:sz w:val="18"/>
              </w:rPr>
              <w:t>C311 合格率</w:t>
            </w:r>
          </w:p>
        </w:tc>
        <w:tc>
          <w:tcPr>
            <w:tcW w:type="dxa" w:w="2721"/>
            <w:vAlign w:val="center"/>
          </w:tcPr>
          <w:p>
            <w:pPr>
              <w:jc w:val="center"/>
            </w:pPr>
            <w:r/>
            <w:r>
              <w:rPr>
                <w:rFonts w:ascii="宋体" w:hAnsi="宋体" w:eastAsia="宋体"/>
                <w:b w:val="0"/>
                <w:sz w:val="18"/>
              </w:rPr>
              <w:t>制品批次的sample_count与qualified_count</w:t>
            </w:r>
          </w:p>
        </w:tc>
        <w:tc>
          <w:tcPr>
            <w:tcW w:type="dxa" w:w="4649"/>
            <w:vAlign w:val="center"/>
          </w:tcPr>
          <w:p>
            <w:pPr>
              <w:jc w:val="center"/>
            </w:pPr>
            <w:r/>
            <w:r>
              <w:rPr>
                <w:rFonts w:ascii="宋体" w:hAnsi="宋体" w:eastAsia="宋体"/>
                <w:b w:val="0"/>
                <w:sz w:val="18"/>
              </w:rPr>
              <w:t>P=合格数/总样本数</w:t>
            </w:r>
          </w:p>
        </w:tc>
      </w:tr>
      <w:tr>
        <w:tc>
          <w:tcPr>
            <w:tcW w:type="dxa" w:w="1701"/>
            <w:vAlign w:val="center"/>
          </w:tcPr>
          <w:p>
            <w:pPr>
              <w:jc w:val="center"/>
            </w:pPr>
            <w:r/>
            <w:r>
              <w:rPr>
                <w:rFonts w:ascii="宋体" w:hAnsi="宋体" w:eastAsia="宋体"/>
                <w:b w:val="0"/>
                <w:sz w:val="18"/>
              </w:rPr>
              <w:t>C321 表面粗糙度一致性</w:t>
            </w:r>
          </w:p>
        </w:tc>
        <w:tc>
          <w:tcPr>
            <w:tcW w:type="dxa" w:w="2721"/>
            <w:vAlign w:val="center"/>
          </w:tcPr>
          <w:p>
            <w:pPr>
              <w:jc w:val="center"/>
            </w:pPr>
            <w:r/>
            <w:r>
              <w:rPr>
                <w:rFonts w:ascii="宋体" w:hAnsi="宋体" w:eastAsia="宋体"/>
                <w:b w:val="0"/>
                <w:sz w:val="18"/>
              </w:rPr>
              <w:t>制品参数中标记为surface_roughness的测点值和理想值</w:t>
            </w:r>
          </w:p>
        </w:tc>
        <w:tc>
          <w:tcPr>
            <w:tcW w:type="dxa" w:w="4649"/>
            <w:vAlign w:val="center"/>
          </w:tcPr>
          <w:p>
            <w:pPr>
              <w:jc w:val="center"/>
            </w:pPr>
            <w:r/>
            <w:r>
              <w:rPr>
                <w:rFonts w:ascii="宋体" w:hAnsi="宋体" w:eastAsia="宋体"/>
                <w:b w:val="0"/>
                <w:sz w:val="18"/>
              </w:rPr>
              <w:t>IRa=1-RMS误差/Ra0</w:t>
            </w:r>
          </w:p>
        </w:tc>
      </w:tr>
      <w:tr>
        <w:tc>
          <w:tcPr>
            <w:tcW w:type="dxa" w:w="1701"/>
            <w:vAlign w:val="center"/>
          </w:tcPr>
          <w:p>
            <w:pPr>
              <w:jc w:val="center"/>
            </w:pPr>
            <w:r/>
            <w:r>
              <w:rPr>
                <w:rFonts w:ascii="宋体" w:hAnsi="宋体" w:eastAsia="宋体"/>
                <w:b w:val="0"/>
                <w:sz w:val="18"/>
              </w:rPr>
              <w:t>C322 几何精度符合率</w:t>
            </w:r>
          </w:p>
        </w:tc>
        <w:tc>
          <w:tcPr>
            <w:tcW w:type="dxa" w:w="2721"/>
            <w:vAlign w:val="center"/>
          </w:tcPr>
          <w:p>
            <w:pPr>
              <w:jc w:val="center"/>
            </w:pPr>
            <w:r/>
            <w:r>
              <w:rPr>
                <w:rFonts w:ascii="宋体" w:hAnsi="宋体" w:eastAsia="宋体"/>
                <w:b w:val="0"/>
                <w:sz w:val="18"/>
              </w:rPr>
              <w:t>制品几何类参数实测值、设计值、公差</w:t>
            </w:r>
          </w:p>
        </w:tc>
        <w:tc>
          <w:tcPr>
            <w:tcW w:type="dxa" w:w="4649"/>
            <w:vAlign w:val="center"/>
          </w:tcPr>
          <w:p>
            <w:pPr>
              <w:jc w:val="center"/>
            </w:pPr>
            <w:r/>
            <w:r>
              <w:rPr>
                <w:rFonts w:ascii="宋体" w:hAnsi="宋体" w:eastAsia="宋体"/>
                <w:b w:val="0"/>
                <w:sz w:val="18"/>
              </w:rPr>
              <w:t>按每批几何误差/公差计算符合程度后取平均</w:t>
            </w:r>
          </w:p>
        </w:tc>
      </w:tr>
      <w:tr>
        <w:tc>
          <w:tcPr>
            <w:tcW w:type="dxa" w:w="1701"/>
            <w:vAlign w:val="center"/>
          </w:tcPr>
          <w:p>
            <w:pPr>
              <w:jc w:val="center"/>
            </w:pPr>
            <w:r/>
            <w:r>
              <w:rPr>
                <w:rFonts w:ascii="宋体" w:hAnsi="宋体" w:eastAsia="宋体"/>
                <w:b w:val="0"/>
                <w:sz w:val="18"/>
              </w:rPr>
              <w:t>C323 尺寸公差符合率</w:t>
            </w:r>
          </w:p>
        </w:tc>
        <w:tc>
          <w:tcPr>
            <w:tcW w:type="dxa" w:w="2721"/>
            <w:vAlign w:val="center"/>
          </w:tcPr>
          <w:p>
            <w:pPr>
              <w:jc w:val="center"/>
            </w:pPr>
            <w:r/>
            <w:r>
              <w:rPr>
                <w:rFonts w:ascii="宋体" w:hAnsi="宋体" w:eastAsia="宋体"/>
                <w:b w:val="0"/>
                <w:sz w:val="18"/>
              </w:rPr>
              <w:t>制品尺寸类参数实测值、名义尺寸、公差范围</w:t>
            </w:r>
          </w:p>
        </w:tc>
        <w:tc>
          <w:tcPr>
            <w:tcW w:type="dxa" w:w="4649"/>
            <w:vAlign w:val="center"/>
          </w:tcPr>
          <w:p>
            <w:pPr>
              <w:jc w:val="center"/>
            </w:pPr>
            <w:r/>
            <w:r>
              <w:rPr>
                <w:rFonts w:ascii="宋体" w:hAnsi="宋体" w:eastAsia="宋体"/>
                <w:b w:val="0"/>
                <w:sz w:val="18"/>
              </w:rPr>
              <w:t>按尺寸偏差/公差范围计算符合程度后取平均</w:t>
            </w:r>
          </w:p>
        </w:tc>
      </w:tr>
    </w:tbl>
    <w:p>
      <w:pPr>
        <w:pStyle w:val="Heading1"/>
      </w:pPr>
      <w:r>
        <w:rPr>
          <w:rFonts w:ascii="黑体" w:hAnsi="黑体" w:eastAsia="黑体"/>
        </w:rPr>
        <w:t>6. 正向与逆向归一化怎么讲</w:t>
      </w:r>
    </w:p>
    <w:p>
      <w:pPr>
        <w:spacing w:line="300" w:lineRule="auto"/>
      </w:pPr>
      <w:r>
        <w:rPr>
          <w:rFonts w:ascii="宋体" w:hAnsi="宋体" w:eastAsia="宋体"/>
        </w:rPr>
        <w:t>不同指标量纲不同，有的是概率，有的是时间，有的是波动率，不能直接相加。因此系统先把所有指标统一转成0到1之间的归一化评价值。</w:t>
      </w:r>
    </w:p>
    <w:p>
      <w:pPr>
        <w:spacing w:line="300" w:lineRule="auto"/>
      </w:pPr>
      <w:r>
        <w:rPr>
          <w:rFonts w:ascii="宋体" w:hAnsi="宋体" w:eastAsia="宋体"/>
        </w:rPr>
        <w:t>正向指标：数值越大越好，例如可靠度、可用度、合格率、表面粗糙度一致性、几何精度符合率、尺寸公差符合率。公式为 z=(x-极端值)/(理想值-极端值)。</w:t>
      </w:r>
    </w:p>
    <w:p>
      <w:pPr>
        <w:spacing w:line="300" w:lineRule="auto"/>
      </w:pPr>
      <w:r>
        <w:rPr>
          <w:rFonts w:ascii="宋体" w:hAnsi="宋体" w:eastAsia="宋体"/>
        </w:rPr>
        <w:t>逆向指标：数值越小越好，例如精度波动度、精度退化率、刚度退化率、失效率、平均修复时间、切削力波动度、夹持力波动度。公式为 z=(极端值-x)/(极端值-理想值)。</w:t>
      </w:r>
    </w:p>
    <w:p>
      <w:pPr>
        <w:spacing w:line="300" w:lineRule="auto"/>
      </w:pPr>
      <w:r>
        <w:rPr>
          <w:rFonts w:ascii="宋体" w:hAnsi="宋体" w:eastAsia="宋体"/>
        </w:rPr>
        <w:t>例1：可靠度为正向指标，说明书案例 x=0.97，极端值0.85，理想值1.00，则 z=(0.97-0.85)/(1.00-0.85)=0.80。</w:t>
      </w:r>
    </w:p>
    <w:p>
      <w:pPr>
        <w:spacing w:line="300" w:lineRule="auto"/>
      </w:pPr>
      <w:r>
        <w:rPr>
          <w:rFonts w:ascii="宋体" w:hAnsi="宋体" w:eastAsia="宋体"/>
        </w:rPr>
        <w:t>例2：精度退化率为逆向指标，说明书案例 x=0.09，极端值0.30，理想值0，则 z=(0.30-0.09)/(0.30-0)=0.70。</w:t>
      </w:r>
    </w:p>
    <w:p>
      <w:pPr>
        <w:pStyle w:val="Heading1"/>
      </w:pPr>
      <w:r>
        <w:rPr>
          <w:rFonts w:ascii="黑体" w:hAnsi="黑体" w:eastAsia="黑体"/>
        </w:rPr>
        <w:t>7. 当前软件案例与说明书案例的关系</w:t>
      </w:r>
    </w:p>
    <w:p>
      <w:pPr>
        <w:spacing w:line="300" w:lineRule="auto"/>
      </w:pPr>
      <w:r>
        <w:rPr>
          <w:rFonts w:ascii="宋体" w:hAnsi="宋体" w:eastAsia="宋体"/>
        </w:rPr>
        <w:t>说明书案例：用于证明算法路线，给出了13个指标的计算值、归一化值和权重，最终 S=0.79。</w:t>
      </w:r>
    </w:p>
    <w:p>
      <w:pPr>
        <w:spacing w:line="300" w:lineRule="auto"/>
      </w:pPr>
      <w:r>
        <w:rPr>
          <w:rFonts w:ascii="宋体" w:hAnsi="宋体" w:eastAsia="宋体"/>
        </w:rPr>
        <w:t>软件当前演示案例：系统中已有 DVT1250 系列立式数控车床的可复现案例数据，包含故障、维修、退化监测、切削力/夹持力、制品批次和制品样本数据。软件会从这些原始记录开始重新计算13个指标。</w:t>
      </w:r>
    </w:p>
    <w:p>
      <w:pPr>
        <w:spacing w:line="300" w:lineRule="auto"/>
      </w:pPr>
      <w:r>
        <w:rPr>
          <w:rFonts w:ascii="宋体" w:hAnsi="宋体" w:eastAsia="宋体"/>
        </w:rPr>
        <w:t>因此，如果页面分数与说明书的0.79不同，不一定是算法错误，首先要看当前数据库中的原始故障记录、退化记录、制品记录是否等于说明书案例。说明书没有提供原始明细，所以软件的DVT样例是“按说明书方法构造的演示数据”，不是说明书表1的原始数据逐条复刻。</w:t>
      </w:r>
    </w:p>
    <w:p>
      <w:pPr>
        <w:pStyle w:val="Heading1"/>
      </w:pPr>
      <w:r>
        <w:rPr>
          <w:rFonts w:ascii="黑体" w:hAnsi="黑体" w:eastAsia="黑体"/>
        </w:rPr>
        <w:t>8. 展示时可以按这个顺序讲</w:t>
      </w:r>
    </w:p>
    <w:p>
      <w:pPr>
        <w:spacing w:line="300" w:lineRule="auto"/>
      </w:pPr>
      <w:r>
        <w:rPr>
          <w:rFonts w:ascii="宋体" w:hAnsi="宋体" w:eastAsia="宋体"/>
        </w:rPr>
        <w:t>1. 先说明加工可靠性不是单一故障统计，而是把设备、过程和制品质量一起评价。</w:t>
      </w:r>
    </w:p>
    <w:p>
      <w:pPr>
        <w:spacing w:line="300" w:lineRule="auto"/>
      </w:pPr>
      <w:r>
        <w:rPr>
          <w:rFonts w:ascii="宋体" w:hAnsi="宋体" w:eastAsia="宋体"/>
        </w:rPr>
        <w:t>2. 再说明系统有13个指标，分成B1机床整机、B2辅助部分、B3制品三个准则层。</w:t>
      </w:r>
    </w:p>
    <w:p>
      <w:pPr>
        <w:spacing w:line="300" w:lineRule="auto"/>
      </w:pPr>
      <w:r>
        <w:rPr>
          <w:rFonts w:ascii="宋体" w:hAnsi="宋体" w:eastAsia="宋体"/>
        </w:rPr>
        <w:t>3. 然后说原始数据来自故障记录、维修记录、退化监测记录、切削力/夹持力监测和制品检测记录。</w:t>
      </w:r>
    </w:p>
    <w:p>
      <w:pPr>
        <w:spacing w:line="300" w:lineRule="auto"/>
      </w:pPr>
      <w:r>
        <w:rPr>
          <w:rFonts w:ascii="宋体" w:hAnsi="宋体" w:eastAsia="宋体"/>
        </w:rPr>
        <w:t>4. 接着说明每个指标先算出原始值x，再按正向或逆向公式归一化为z。</w:t>
      </w:r>
    </w:p>
    <w:p>
      <w:pPr>
        <w:spacing w:line="300" w:lineRule="auto"/>
      </w:pPr>
      <w:r>
        <w:rPr>
          <w:rFonts w:ascii="宋体" w:hAnsi="宋体" w:eastAsia="宋体"/>
        </w:rPr>
        <w:t>5. 最后按说明书综合权重w加权求和，得到综合分S，并能定位哪个准则层或哪个指标拖低了结果。</w:t>
      </w:r>
    </w:p>
    <w:p>
      <w:pPr>
        <w:pStyle w:val="Heading1"/>
      </w:pPr>
      <w:r>
        <w:rPr>
          <w:rFonts w:ascii="黑体" w:hAnsi="黑体" w:eastAsia="黑体"/>
        </w:rPr>
        <w:t>9. 一句话版本</w:t>
      </w:r>
    </w:p>
    <w:p>
      <w:pPr>
        <w:spacing w:line="300" w:lineRule="auto"/>
      </w:pPr>
      <w:r>
        <w:rPr>
          <w:rFonts w:ascii="宋体" w:hAnsi="宋体" w:eastAsia="宋体"/>
        </w:rPr>
        <w:t>加工可靠性模块的核心逻辑是：把机床故障与维修、加工过程退化、辅助系统稳定性和最终制品质量统一成13个标准指标，经过正逆向归一化后，按说明书权重加权汇总，输出一个能解释来源、能定位薄弱环节的加工可靠性综合分。</w:t>
      </w: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宋体" w:hAnsi="宋体" w:eastAsia="宋体"/>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